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4AC1E" w14:textId="77777777" w:rsidR="000F19AB" w:rsidRDefault="1919E429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005B0D5D" wp14:editId="4F4167A8">
            <wp:extent cx="5707380" cy="495300"/>
            <wp:effectExtent l="0" t="0" r="7620" b="0"/>
            <wp:docPr id="2099750481" name="Obraz 209975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0ADA">
        <w:br/>
      </w:r>
    </w:p>
    <w:p w14:paraId="30D8EE48" w14:textId="0667DB41" w:rsidR="000F19AB" w:rsidRDefault="000F19AB" w:rsidP="000F19AB">
      <w:pPr>
        <w:spacing w:line="257" w:lineRule="auto"/>
        <w:jc w:val="right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Załącznik nr 1</w:t>
      </w:r>
    </w:p>
    <w:p w14:paraId="62E6A177" w14:textId="2B3BD14B" w:rsidR="00DB6AD0" w:rsidRDefault="1919E429" w:rsidP="00E44C2C">
      <w:pPr>
        <w:spacing w:line="257" w:lineRule="auto"/>
        <w:jc w:val="both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Szczegółowy Opis Przedmiotu Zamówienia Postępowanie „Dostawa sprzętu IT dla grantu Cyfrowa Gmina</w:t>
      </w:r>
      <w:r w:rsidR="6DFDEAE6" w:rsidRPr="24CA07DD">
        <w:rPr>
          <w:rFonts w:ascii="Calibri" w:eastAsia="Calibri" w:hAnsi="Calibri" w:cs="Calibri"/>
          <w:color w:val="000000" w:themeColor="text1"/>
        </w:rPr>
        <w:t>”</w:t>
      </w:r>
      <w:r w:rsidRPr="24CA07DD">
        <w:rPr>
          <w:rFonts w:ascii="Calibri" w:eastAsia="Calibri" w:hAnsi="Calibri" w:cs="Calibri"/>
          <w:color w:val="000000" w:themeColor="text1"/>
        </w:rPr>
        <w:t xml:space="preserve"> realizowanego przez Gminę </w:t>
      </w:r>
      <w:r w:rsidR="52E05778" w:rsidRPr="24CA07DD">
        <w:rPr>
          <w:rFonts w:ascii="Calibri" w:eastAsia="Calibri" w:hAnsi="Calibri" w:cs="Calibri"/>
          <w:color w:val="000000" w:themeColor="text1"/>
        </w:rPr>
        <w:t>Szczawin Kościelny.</w:t>
      </w:r>
    </w:p>
    <w:p w14:paraId="07277FAC" w14:textId="27CA2FE0" w:rsidR="00DB6AD0" w:rsidRDefault="00DB6AD0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</w:p>
    <w:p w14:paraId="5B9F8704" w14:textId="5A6EF764" w:rsidR="00DB6AD0" w:rsidRDefault="18259942" w:rsidP="24CA07DD">
      <w:pPr>
        <w:pStyle w:val="Akapitzlist"/>
        <w:numPr>
          <w:ilvl w:val="0"/>
          <w:numId w:val="4"/>
        </w:num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Laptopy</w:t>
      </w:r>
      <w:r w:rsidR="0C91DF19" w:rsidRPr="24CA07DD">
        <w:rPr>
          <w:rFonts w:ascii="Calibri" w:eastAsia="Calibri" w:hAnsi="Calibri" w:cs="Calibri"/>
          <w:color w:val="000000" w:themeColor="text1"/>
        </w:rPr>
        <w:t xml:space="preserve"> – </w:t>
      </w:r>
      <w:r w:rsidRPr="24CA07DD">
        <w:rPr>
          <w:rFonts w:ascii="Calibri" w:eastAsia="Calibri" w:hAnsi="Calibri" w:cs="Calibri"/>
          <w:color w:val="000000" w:themeColor="text1"/>
        </w:rPr>
        <w:t>22</w:t>
      </w:r>
      <w:r w:rsidR="0C91DF19" w:rsidRPr="24CA07DD">
        <w:rPr>
          <w:rFonts w:ascii="Calibri" w:eastAsia="Calibri" w:hAnsi="Calibri" w:cs="Calibri"/>
          <w:color w:val="000000" w:themeColor="text1"/>
        </w:rPr>
        <w:t xml:space="preserve"> </w:t>
      </w:r>
      <w:r w:rsidRPr="24CA07DD">
        <w:rPr>
          <w:rFonts w:ascii="Calibri" w:eastAsia="Calibri" w:hAnsi="Calibri" w:cs="Calibri"/>
          <w:color w:val="000000" w:themeColor="text1"/>
        </w:rPr>
        <w:t>sztuki</w:t>
      </w:r>
    </w:p>
    <w:p w14:paraId="50076931" w14:textId="5FB36709" w:rsidR="00DB6AD0" w:rsidRDefault="18259942" w:rsidP="24CA07DD">
      <w:pPr>
        <w:pStyle w:val="Akapitzlist"/>
        <w:numPr>
          <w:ilvl w:val="0"/>
          <w:numId w:val="4"/>
        </w:num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UPS – 1 sztuka</w:t>
      </w:r>
    </w:p>
    <w:p w14:paraId="147AA156" w14:textId="587D4969" w:rsidR="00DB6AD0" w:rsidRDefault="18259942" w:rsidP="24CA07DD">
      <w:pPr>
        <w:pStyle w:val="Akapitzlist"/>
        <w:numPr>
          <w:ilvl w:val="0"/>
          <w:numId w:val="4"/>
        </w:num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Urządzenia wielofunkcyjne</w:t>
      </w:r>
      <w:r w:rsidR="02134FA2" w:rsidRPr="24CA07DD">
        <w:rPr>
          <w:rFonts w:ascii="Calibri" w:eastAsia="Calibri" w:hAnsi="Calibri" w:cs="Calibri"/>
          <w:color w:val="000000" w:themeColor="text1"/>
        </w:rPr>
        <w:t xml:space="preserve"> – 1 sztuka</w:t>
      </w:r>
    </w:p>
    <w:p w14:paraId="08E20F72" w14:textId="79561E37" w:rsidR="00DB6AD0" w:rsidRDefault="40B834D3" w:rsidP="24CA07DD">
      <w:pPr>
        <w:pStyle w:val="Akapitzlist"/>
        <w:numPr>
          <w:ilvl w:val="0"/>
          <w:numId w:val="4"/>
        </w:num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Zestaw licencji oprogramowania biurowego – 22 sztuki</w:t>
      </w:r>
    </w:p>
    <w:p w14:paraId="186C1FF6" w14:textId="14A2F335" w:rsidR="00DB6AD0" w:rsidRDefault="00DB6AD0" w:rsidP="24CA07DD">
      <w:pPr>
        <w:spacing w:line="257" w:lineRule="auto"/>
        <w:jc w:val="center"/>
        <w:rPr>
          <w:rFonts w:ascii="Calibri" w:eastAsia="Calibri" w:hAnsi="Calibri" w:cs="Calibri"/>
          <w:color w:val="000000" w:themeColor="text1"/>
        </w:rPr>
      </w:pPr>
    </w:p>
    <w:p w14:paraId="58F45D83" w14:textId="15B9CA3F" w:rsidR="00DB6AD0" w:rsidRDefault="436E6A70" w:rsidP="24CA07DD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</w:rPr>
      </w:pP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Część 1. </w:t>
      </w:r>
      <w:r w:rsidR="1919E429" w:rsidRPr="24CA07DD">
        <w:rPr>
          <w:rFonts w:ascii="Calibri" w:eastAsia="Calibri" w:hAnsi="Calibri" w:cs="Calibri"/>
          <w:b/>
          <w:bCs/>
          <w:color w:val="000000" w:themeColor="text1"/>
        </w:rPr>
        <w:t>Dostawa laptopów</w:t>
      </w:r>
      <w:r w:rsidR="12D5F548" w:rsidRPr="24CA07DD">
        <w:rPr>
          <w:rFonts w:ascii="Calibri" w:eastAsia="Calibri" w:hAnsi="Calibri" w:cs="Calibri"/>
          <w:b/>
          <w:bCs/>
          <w:color w:val="000000" w:themeColor="text1"/>
        </w:rPr>
        <w:t xml:space="preserve"> - 22 sztuki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075"/>
        <w:gridCol w:w="5940"/>
      </w:tblGrid>
      <w:tr w:rsidR="6D50D4B0" w14:paraId="21919509" w14:textId="77777777" w:rsidTr="24CA07DD">
        <w:trPr>
          <w:trHeight w:val="345"/>
        </w:trPr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C2FB8C" w14:textId="5C12AD03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Nazwa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AE1097" w14:textId="5ECC727C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Wymagane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minimalne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parametry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techniczne</w:t>
            </w:r>
            <w:proofErr w:type="spellEnd"/>
          </w:p>
        </w:tc>
      </w:tr>
      <w:tr w:rsidR="6D50D4B0" w14:paraId="3559C0C4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CD41E0" w14:textId="568C00D4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Zastosowanie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FBFF0" w14:textId="2F6D8AF4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Komputer przenośny będzie wykorzystywany dla potrzeb aplikacji biurowych, aplikacji edukacyjnych, dostępu do Internetu oraz poczty elektronicznej, </w:t>
            </w:r>
          </w:p>
        </w:tc>
      </w:tr>
      <w:tr w:rsidR="6D50D4B0" w14:paraId="5BD5289E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982583" w14:textId="41DFF266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Matryca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07D299" w14:textId="5BEC2D15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Komputer przenośny typu notebook z ekranem 15,6" o rozdzielczości FHD (1920 x 1080) z podświetleniem LED matryca matowa, jasność min. 220nits, kontrast 400:1 </w:t>
            </w:r>
          </w:p>
        </w:tc>
      </w:tr>
      <w:tr w:rsidR="6D50D4B0" w14:paraId="55F39D77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7B6DA" w14:textId="69B143AD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Wydajność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F2310E" w14:textId="7FBD59F8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Notebook w oferowanej konfiguracji musi osiągać w teście </w:t>
            </w:r>
            <w:proofErr w:type="spellStart"/>
            <w:r w:rsidRPr="6D50D4B0">
              <w:rPr>
                <w:rFonts w:ascii="Calibri" w:eastAsia="Calibri" w:hAnsi="Calibri" w:cs="Calibri"/>
              </w:rPr>
              <w:t>Bapco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Mobile Mark25 wyniki nie gorsze niż:</w:t>
            </w:r>
          </w:p>
          <w:p w14:paraId="71328443" w14:textId="07B2E152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  <w:lang w:val="en-US"/>
              </w:rPr>
              <w:t xml:space="preserve">Productivity – minimum 730 </w:t>
            </w:r>
            <w:proofErr w:type="spellStart"/>
            <w:r w:rsidRPr="6D50D4B0">
              <w:rPr>
                <w:rFonts w:ascii="Calibri" w:eastAsia="Calibri" w:hAnsi="Calibri" w:cs="Calibri"/>
                <w:lang w:val="en-US"/>
              </w:rPr>
              <w:t>punktów</w:t>
            </w:r>
            <w:proofErr w:type="spellEnd"/>
          </w:p>
          <w:p w14:paraId="100131CD" w14:textId="76257396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  <w:lang w:val="en-US"/>
              </w:rPr>
              <w:t>DC Performance – minimum 700 pkt</w:t>
            </w:r>
          </w:p>
          <w:p w14:paraId="4C6C468C" w14:textId="533F2861" w:rsidR="6D50D4B0" w:rsidRDefault="6D50D4B0" w:rsidP="6D50D4B0">
            <w:pPr>
              <w:jc w:val="both"/>
            </w:pPr>
            <w:proofErr w:type="spellStart"/>
            <w:r w:rsidRPr="6D50D4B0">
              <w:rPr>
                <w:rFonts w:ascii="Calibri" w:eastAsia="Calibri" w:hAnsi="Calibri" w:cs="Calibri"/>
              </w:rPr>
              <w:t>MobileMark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25 indeks – minimum 275 pkt</w:t>
            </w:r>
          </w:p>
          <w:p w14:paraId="7E90AFF7" w14:textId="5AB76967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Wymagane testy wydajnościowe wykonawca musi przeprowadzić na</w:t>
            </w:r>
          </w:p>
          <w:p w14:paraId="64A09871" w14:textId="2A10A114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automatycznych ustawieniach konfiguratora dołączonego przez firmę BAPCO i przy natywnej rozdzielczości wyświetlacza oraz włączonych wszystkich urządzaniach. Nie dopuszcza się stosowanie </w:t>
            </w:r>
            <w:proofErr w:type="spellStart"/>
            <w:r w:rsidRPr="6D50D4B0">
              <w:rPr>
                <w:rFonts w:ascii="Calibri" w:eastAsia="Calibri" w:hAnsi="Calibri" w:cs="Calibri"/>
              </w:rPr>
              <w:t>overclokingu</w:t>
            </w:r>
            <w:proofErr w:type="spellEnd"/>
            <w:r w:rsidRPr="6D50D4B0">
              <w:rPr>
                <w:rFonts w:ascii="Calibri" w:eastAsia="Calibri" w:hAnsi="Calibri" w:cs="Calibri"/>
              </w:rPr>
              <w:t>, oprogramowania wspomagającego pochodzącego z innego źródła niż fabrycznie zainstalowane oprogramowanie przez producenta, ingerowania w ustawieniach BIOS (tzn. wyłączanie urządzeń stanowiących pełną konfigurację) jak również w samym środowisku systemu (tzn. zmniejszanie rozdzielczości, jasności i kontrastu itp.)</w:t>
            </w:r>
          </w:p>
          <w:p w14:paraId="7BE7BCCB" w14:textId="4B213109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Potwierdzeniem spełnienia powyższych wymagań będzie dołączony do oferty wydruk raportu z oprogramowania testującego.</w:t>
            </w:r>
          </w:p>
          <w:p w14:paraId="2203B777" w14:textId="5D28BF18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Zamawiający zastrzega sobie, iż w celu sprawdzenia poprawności przeprowadzonych testów Wykonawca może zostać wezwany przy dostawie do wykonania w obecności Zamawiającego, na dwóch losowo wskazanych przez Zamawiającego notebookach, testów ich wydajności, zgodnie z powyższymi wymaganiami, </w:t>
            </w:r>
            <w:r w:rsidRPr="6D50D4B0">
              <w:rPr>
                <w:rFonts w:ascii="Calibri" w:eastAsia="Calibri" w:hAnsi="Calibri" w:cs="Calibri"/>
              </w:rPr>
              <w:lastRenderedPageBreak/>
              <w:t>potwierdzający zadeklarowane przez Wykonawcę wyniki wydajnościowe</w:t>
            </w:r>
          </w:p>
        </w:tc>
      </w:tr>
      <w:tr w:rsidR="6D50D4B0" w14:paraId="51B4EFBF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F0269" w14:textId="2237E3DF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lastRenderedPageBreak/>
              <w:t>Pamięć RAM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C03358" w14:textId="2B3FF47C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8GB DDR4 możliwość rozbudowy do min 16GB, dwa </w:t>
            </w:r>
            <w:proofErr w:type="spellStart"/>
            <w:r w:rsidRPr="6D50D4B0">
              <w:rPr>
                <w:rFonts w:ascii="Calibri" w:eastAsia="Calibri" w:hAnsi="Calibri" w:cs="Calibri"/>
              </w:rPr>
              <w:t>sloty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6D50D4B0" w14:paraId="57B36DA8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FA5403" w14:textId="538DCE15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Pamięć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masowa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CF6234" w14:textId="4B109E70" w:rsidR="6D50D4B0" w:rsidRDefault="6D50D4B0" w:rsidP="6D50D4B0">
            <w:pPr>
              <w:jc w:val="both"/>
            </w:pPr>
            <w:r w:rsidRPr="24CA07DD">
              <w:rPr>
                <w:rFonts w:ascii="Calibri" w:eastAsia="Calibri" w:hAnsi="Calibri" w:cs="Calibri"/>
              </w:rPr>
              <w:t xml:space="preserve">min. 256 GB SSD </w:t>
            </w:r>
            <w:r w:rsidR="74443318" w:rsidRPr="24CA07DD">
              <w:rPr>
                <w:rFonts w:ascii="Calibri" w:eastAsia="Calibri" w:hAnsi="Calibri" w:cs="Calibri"/>
              </w:rPr>
              <w:t>M.2</w:t>
            </w:r>
            <w:r w:rsidRPr="24CA07DD">
              <w:rPr>
                <w:rFonts w:ascii="Calibri" w:eastAsia="Calibri" w:hAnsi="Calibri" w:cs="Calibri"/>
              </w:rPr>
              <w:t xml:space="preserve">, fabryczna możliwość instalacji drugiego dysku 2,5” </w:t>
            </w:r>
          </w:p>
        </w:tc>
      </w:tr>
      <w:tr w:rsidR="6D50D4B0" w14:paraId="0303EF0B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3E270F" w14:textId="6F009A85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Karta graficzna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08FC18" w14:textId="5F2FE755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Zintegrowana z procesorem </w:t>
            </w:r>
          </w:p>
        </w:tc>
      </w:tr>
      <w:tr w:rsidR="6D50D4B0" w14:paraId="5EA15B14" w14:textId="77777777" w:rsidTr="24CA07DD">
        <w:trPr>
          <w:trHeight w:val="420"/>
        </w:trPr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211230" w14:textId="3D162F2D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Multimedia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D89B5" w14:textId="18E2D203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Dwukanałowa karta dźwiękowa zintegrowana z płytą główną, zgodna z High Definition, wbudowane głośniki stereo o średniej mocy min. 2x 2W, cyfrowy mikrofon z funkcją redukcji szumów i poprawy mowy wbudowany w obudowę matrycy.</w:t>
            </w:r>
          </w:p>
          <w:p w14:paraId="7B8461DF" w14:textId="0935C482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Kamera internetowa o rozdzielczości min. HD trwale zainstalowana w obudowie matrycy, dioda informująca użytkownika o aktywnej kamerze.</w:t>
            </w:r>
          </w:p>
        </w:tc>
      </w:tr>
      <w:tr w:rsidR="6D50D4B0" w14:paraId="6B985A6C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116D76" w14:textId="3BC98BD8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Bateria i zasilanie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F34D72" w14:textId="56845101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Czas pracy na baterii minimum 380 minut potwierdzony przeprowadzonym testem </w:t>
            </w:r>
            <w:proofErr w:type="spellStart"/>
            <w:r w:rsidRPr="6D50D4B0">
              <w:rPr>
                <w:rFonts w:ascii="Calibri" w:eastAsia="Calibri" w:hAnsi="Calibri" w:cs="Calibri"/>
              </w:rPr>
              <w:t>MobileMark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25 Battery Life (do oferty załączyć wydruk przeprowadzonego testu)</w:t>
            </w:r>
          </w:p>
          <w:p w14:paraId="21F78CB3" w14:textId="403CEF0F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Zasilacz o mocy min. 65W. </w:t>
            </w:r>
          </w:p>
          <w:p w14:paraId="02AE791A" w14:textId="5B0E5836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</w:tr>
      <w:tr w:rsidR="6D50D4B0" w14:paraId="01A77C6A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D2A637" w14:textId="33A374C3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Waga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2E7893" w14:textId="62901756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Waga komputera z oferowaną baterią nie większa niż 1,7 kg</w:t>
            </w:r>
          </w:p>
        </w:tc>
      </w:tr>
      <w:tr w:rsidR="6D50D4B0" w14:paraId="6506BD1E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083E5C" w14:textId="5CC439B2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Obudowa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9C4306" w14:textId="19340863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Obudowa notebooka wzmocniona, szkielet i zawiasy notebooka wykonany z wzmacnianego metalu. </w:t>
            </w:r>
          </w:p>
        </w:tc>
      </w:tr>
      <w:tr w:rsidR="6D50D4B0" w14:paraId="3D24E2B3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12E679" w14:textId="36F122CE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BIOS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2AC1A" w14:textId="226DDD9A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BIOS zgodny ze specyfikacją UEFI, pełna obsługa za pomocą klawiatury i myszy.</w:t>
            </w:r>
          </w:p>
          <w:p w14:paraId="4B5838BD" w14:textId="2F0B0A58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BIOS musi umożliwiać przeprowadzenia inwentaryzacji sprzętowej poprzez wyświetlenie informacji o: wersji BIOS, numerze seryjnym i dacie produkcji komputera, wielkości, prędkości i sposobie obsadzenia zainstalowanej pamięci RAM, typie zainstalowanego procesora, zainstalowanym dysku twardym (pojemność, model), MAC adresie wbudowanej w płytę główną karty sieciowej.</w:t>
            </w:r>
          </w:p>
          <w:p w14:paraId="58ADB695" w14:textId="24544009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Funkcja blokowania/odblokowania portów USB</w:t>
            </w:r>
          </w:p>
          <w:p w14:paraId="0D5FA791" w14:textId="32028D8C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Możliwość, ustawienia hasła dla administratora oraz użytkownika dla </w:t>
            </w:r>
            <w:proofErr w:type="spellStart"/>
            <w:r w:rsidRPr="6D50D4B0">
              <w:rPr>
                <w:rFonts w:ascii="Calibri" w:eastAsia="Calibri" w:hAnsi="Calibri" w:cs="Calibri"/>
              </w:rPr>
              <w:t>BIOS’u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, po podaniu hasła użytkownika możliwość jedynie odczytania informacji, brak możliwości </w:t>
            </w:r>
            <w:proofErr w:type="spellStart"/>
            <w:r w:rsidRPr="6D50D4B0">
              <w:rPr>
                <w:rFonts w:ascii="Calibri" w:eastAsia="Calibri" w:hAnsi="Calibri" w:cs="Calibri"/>
              </w:rPr>
              <w:t>wł</w:t>
            </w:r>
            <w:proofErr w:type="spellEnd"/>
            <w:r w:rsidRPr="6D50D4B0">
              <w:rPr>
                <w:rFonts w:ascii="Calibri" w:eastAsia="Calibri" w:hAnsi="Calibri" w:cs="Calibri"/>
              </w:rPr>
              <w:t>/wy funkcji. Hasła silne opatrzone o litery, cyfry i znaki specjalne.</w:t>
            </w:r>
          </w:p>
          <w:p w14:paraId="24D37611" w14:textId="5AFAC449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Możliwość przypisania w BIOS numeru nadawanego przez Administratora.</w:t>
            </w:r>
          </w:p>
        </w:tc>
      </w:tr>
      <w:tr w:rsidR="6D50D4B0" w14:paraId="0F363CAF" w14:textId="77777777" w:rsidTr="24CA07DD">
        <w:trPr>
          <w:trHeight w:val="3375"/>
        </w:trPr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C57213" w14:textId="6749629D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lastRenderedPageBreak/>
              <w:t>Bezpieczeństwo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CA6C1D" w14:textId="088E8047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System diagnostyczny z graficzny interfejsem dostępny z poziomu BIOS lub menu </w:t>
            </w:r>
            <w:proofErr w:type="spellStart"/>
            <w:r w:rsidRPr="6D50D4B0">
              <w:rPr>
                <w:rFonts w:ascii="Calibri" w:eastAsia="Calibri" w:hAnsi="Calibri" w:cs="Calibri"/>
              </w:rPr>
              <w:t>BOOT’owania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umożliwiający użytkownikowi przeprowadzenie wstępnej diagnostyki awarii poprzez przetestowanie: procesora, pamięci RAM, dysku, płyty głównej i wyświetlacza. Pełna funkcjonalność systemu diagnostycznego musi być dostępna również w przypadku braku lub uszkodzenia oraz sformatowania dysku twardego, braku dostępu do sieci LAN i </w:t>
            </w:r>
            <w:proofErr w:type="spellStart"/>
            <w:r w:rsidRPr="6D50D4B0">
              <w:rPr>
                <w:rFonts w:ascii="Calibri" w:eastAsia="Calibri" w:hAnsi="Calibri" w:cs="Calibri"/>
              </w:rPr>
              <w:t>internetu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oraz nie może być realizowana przez narzędzia zewnętrzne podłączane do komputera (np. pamięć USB </w:t>
            </w:r>
            <w:proofErr w:type="spellStart"/>
            <w:r w:rsidRPr="6D50D4B0">
              <w:rPr>
                <w:rFonts w:ascii="Calibri" w:eastAsia="Calibri" w:hAnsi="Calibri" w:cs="Calibri"/>
              </w:rPr>
              <w:t>flash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].</w:t>
            </w:r>
          </w:p>
          <w:p w14:paraId="16C273A2" w14:textId="79A654F6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Dedykowany układ szyfrujący TPM 2.0 </w:t>
            </w:r>
          </w:p>
          <w:p w14:paraId="56456FA7" w14:textId="6FF48B0E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Złącze na linkę zabezpieczającą przed kradzieżą.</w:t>
            </w:r>
          </w:p>
        </w:tc>
      </w:tr>
      <w:tr w:rsidR="6D50D4B0" w14:paraId="4ACF7BF2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78E7CA" w14:textId="64114BC3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</w:rPr>
              <w:t>Certyfikaty</w:t>
            </w:r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243632" w14:textId="09F34FFA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Certyfikat ISO 9001 dla producenta sprzętu (załączyć do oferty)</w:t>
            </w:r>
          </w:p>
          <w:p w14:paraId="158257F4" w14:textId="544CC6A6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Certyfikat ISO 50001 dla producenta sprzętu (załączyć do oferty)</w:t>
            </w:r>
          </w:p>
          <w:p w14:paraId="06C122BB" w14:textId="645B2D2B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Deklaracja zgodności CE (załączyć do oferty)</w:t>
            </w:r>
          </w:p>
          <w:p w14:paraId="3DDF50EF" w14:textId="30534C98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Potwierdzenie spełnienia kryteriów środowiskowych, w tym zgodności z dyrektywą </w:t>
            </w:r>
            <w:proofErr w:type="spellStart"/>
            <w:r w:rsidRPr="6D50D4B0">
              <w:rPr>
                <w:rFonts w:ascii="Calibri" w:eastAsia="Calibri" w:hAnsi="Calibri" w:cs="Calibri"/>
              </w:rPr>
              <w:t>RoHS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Unii Europejskiej o eliminacji substancji niebezpiecznych w postaci oświadczenia producenta jednostki.</w:t>
            </w:r>
          </w:p>
        </w:tc>
      </w:tr>
      <w:tr w:rsidR="6D50D4B0" w14:paraId="6DFCF550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4DD44D" w14:textId="25386991" w:rsidR="6D50D4B0" w:rsidRDefault="6D50D4B0" w:rsidP="6D50D4B0">
            <w:pPr>
              <w:jc w:val="center"/>
            </w:pPr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System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operacyjny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B47B09" w14:textId="4CFB74AE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Zainstalowany system operacyjny Windows 11 Pro z możliwością </w:t>
            </w:r>
            <w:proofErr w:type="spellStart"/>
            <w:r w:rsidRPr="6D50D4B0">
              <w:rPr>
                <w:rFonts w:ascii="Calibri" w:eastAsia="Calibri" w:hAnsi="Calibri" w:cs="Calibri"/>
              </w:rPr>
              <w:t>downgrade’u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do Win 10 Pro</w:t>
            </w:r>
          </w:p>
        </w:tc>
      </w:tr>
      <w:tr w:rsidR="6D50D4B0" w14:paraId="005A474F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159203" w14:textId="1BDEA589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Wymagania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dodatkowe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58BF09" w14:textId="51FF49E3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Wbudowane porty i złącza: HDMI 1.4, RJ-45 (karta sieciowa wbudowana), min. 3xUSB w tym min. 2 port USB 3.2 gen1 typ-A, czytnik kart SD 3.0, współdzielone złącze słuchawkowe stereo i złącze mikrofonowe, złącze zasilania (zasilacz nie może zajmować portów USB)</w:t>
            </w:r>
          </w:p>
          <w:p w14:paraId="02281595" w14:textId="4B07F771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Zintegrowana w postaci wewnętrznego modułu mini-PCI Express karta sieci WLAN 802.11AC</w:t>
            </w:r>
            <w:r w:rsidRPr="6D50D4B0">
              <w:rPr>
                <w:rFonts w:ascii="Calibri" w:eastAsia="Calibri" w:hAnsi="Calibri" w:cs="Calibri"/>
                <w:color w:val="00B050"/>
              </w:rPr>
              <w:t>,</w:t>
            </w:r>
            <w:r w:rsidRPr="6D50D4B0">
              <w:rPr>
                <w:rFonts w:ascii="Calibri" w:eastAsia="Calibri" w:hAnsi="Calibri" w:cs="Calibri"/>
              </w:rPr>
              <w:t xml:space="preserve"> moduł </w:t>
            </w:r>
            <w:proofErr w:type="spellStart"/>
            <w:r w:rsidRPr="6D50D4B0">
              <w:rPr>
                <w:rFonts w:ascii="Calibri" w:eastAsia="Calibri" w:hAnsi="Calibri" w:cs="Calibri"/>
              </w:rPr>
              <w:t>bluetooth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4.1 </w:t>
            </w:r>
          </w:p>
          <w:p w14:paraId="3E54C6A0" w14:textId="29981B6E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Klawiatura z wbudowanym podświetleniem (układ US - QWERTY) z wydzieloną klawiaturą numeryczną, </w:t>
            </w:r>
            <w:proofErr w:type="spellStart"/>
            <w:r w:rsidRPr="6D50D4B0">
              <w:rPr>
                <w:rFonts w:ascii="Calibri" w:eastAsia="Calibri" w:hAnsi="Calibri" w:cs="Calibri"/>
              </w:rPr>
              <w:t>touchpad</w:t>
            </w:r>
            <w:proofErr w:type="spellEnd"/>
            <w:r w:rsidRPr="6D50D4B0">
              <w:rPr>
                <w:rFonts w:ascii="Calibri" w:eastAsia="Calibri" w:hAnsi="Calibri" w:cs="Calibri"/>
              </w:rPr>
              <w:t xml:space="preserve"> z strefą przewijania w pionie, poziomie wraz z obsługą gestów.</w:t>
            </w:r>
          </w:p>
        </w:tc>
      </w:tr>
      <w:tr w:rsidR="6D50D4B0" w14:paraId="082415CB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A317BB" w14:textId="60D4EA40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Dodatkowe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oprogramowanie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9F565" w14:textId="6ABA0B3B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Dostarczone i zainstalowane w środowisku systemu operacyjnego aplikacja zapewniająca bezproblemową integrację bezprzewodową między smartfonami i komputerem.  Aplikacja wspierająca zgodna z systemami iOS oraz Android 6 lub nowszy. Opatrzona w funkcjonalności:</w:t>
            </w:r>
          </w:p>
          <w:p w14:paraId="3320A65D" w14:textId="0C030F7C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- Inicjowanie i odbieranie połączeń telefonicznych przez głośniki i mikrofon w komputerze</w:t>
            </w:r>
          </w:p>
          <w:p w14:paraId="7DCB1392" w14:textId="70A174C9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- Uzyskanie dostępu do kompletnej książki telefonicznej poprzez komputer</w:t>
            </w:r>
          </w:p>
          <w:p w14:paraId="5E690CF4" w14:textId="7A324AFD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- Wysyłanie i odbieranie wiadomości tekstowych za pomocą klawiatury, myszy i ekranu dotykowego komputera.</w:t>
            </w:r>
          </w:p>
          <w:p w14:paraId="71AAF983" w14:textId="264E8C28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- bezprzewodowo: przeciągnij i upuść zdjęcia, filmy, muzykę i dokumenty między komputerem a smartfonem z systemem Android lub iOS.</w:t>
            </w:r>
          </w:p>
          <w:p w14:paraId="37A8584F" w14:textId="6BCFC2EE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- tworzenie kopi lustrzanej ekranu telefonu z systemem Android lub iOS na komputerze i korzystanie z dowolnych aplikacji za pomocą klawiatury, myszy i ekranu dotykowego komputera</w:t>
            </w:r>
          </w:p>
        </w:tc>
      </w:tr>
      <w:tr w:rsidR="6D50D4B0" w14:paraId="23801158" w14:textId="77777777" w:rsidTr="24CA07DD"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A2B036" w14:textId="5FFE4CE4" w:rsidR="6D50D4B0" w:rsidRDefault="6D50D4B0" w:rsidP="6D50D4B0">
            <w:pPr>
              <w:jc w:val="center"/>
            </w:pP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Warunki</w:t>
            </w:r>
            <w:proofErr w:type="spellEnd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 xml:space="preserve"> </w:t>
            </w:r>
            <w:proofErr w:type="spellStart"/>
            <w:r w:rsidRPr="6D50D4B0">
              <w:rPr>
                <w:rFonts w:ascii="Calibri" w:eastAsia="Calibri" w:hAnsi="Calibri" w:cs="Calibri"/>
                <w:b/>
                <w:bCs/>
                <w:lang w:val="en-US"/>
              </w:rPr>
              <w:t>gwarancji</w:t>
            </w:r>
            <w:proofErr w:type="spellEnd"/>
          </w:p>
        </w:tc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C406F0" w14:textId="23321B93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 xml:space="preserve">3-letnia gwarancja producenta świadczona na miejscu u klienta. Czas reakcji serwisu - do końca następnego dnia roboczego. </w:t>
            </w:r>
            <w:r w:rsidRPr="6D50D4B0">
              <w:rPr>
                <w:rFonts w:ascii="Calibri" w:eastAsia="Calibri" w:hAnsi="Calibri" w:cs="Calibri"/>
              </w:rPr>
              <w:lastRenderedPageBreak/>
              <w:t>Dedykowany portal producenta do zgłaszania awarii lub usterek, możliwość samodzielnego zamawiania zamiennych komponentów oraz sprawdzenie okresu gwarancji, fabrycznej konfiguracji.</w:t>
            </w:r>
          </w:p>
          <w:p w14:paraId="40311BAA" w14:textId="3BBA9C2F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Firma serwisująca musi posiadać ISO 9001: 2015 na świadczenie usług serwisowych oraz posiadać autoryzacje producenta komputera – dokumenty potwierdzające załączyć do oferty.</w:t>
            </w:r>
          </w:p>
          <w:p w14:paraId="2DCE3538" w14:textId="28955483" w:rsidR="6D50D4B0" w:rsidRDefault="6D50D4B0" w:rsidP="6D50D4B0">
            <w:pPr>
              <w:jc w:val="both"/>
            </w:pPr>
            <w:r w:rsidRPr="6D50D4B0">
              <w:rPr>
                <w:rFonts w:ascii="Calibri" w:eastAsia="Calibri" w:hAnsi="Calibri" w:cs="Calibri"/>
              </w:rPr>
              <w:t>Oświadczenie producenta, że w przypadku niewywiązywania się z obowiązków gwarancyjnych oferenta lub firmy serwisującej, przejmie na siebie wszelkie zobowiązania związane z serwisem.</w:t>
            </w:r>
          </w:p>
        </w:tc>
      </w:tr>
    </w:tbl>
    <w:p w14:paraId="52999246" w14:textId="45366FDD" w:rsidR="00DB6AD0" w:rsidRDefault="1919E429" w:rsidP="6D50D4B0">
      <w:pPr>
        <w:spacing w:line="276" w:lineRule="auto"/>
      </w:pPr>
      <w:r w:rsidRPr="24CA07DD">
        <w:rPr>
          <w:rFonts w:ascii="Calibri" w:eastAsia="Calibri" w:hAnsi="Calibri" w:cs="Calibri"/>
        </w:rPr>
        <w:lastRenderedPageBreak/>
        <w:t xml:space="preserve"> </w:t>
      </w:r>
    </w:p>
    <w:p w14:paraId="4658088A" w14:textId="43D57FED" w:rsidR="0938E94A" w:rsidRDefault="0938E94A" w:rsidP="24CA07DD">
      <w:pPr>
        <w:spacing w:line="276" w:lineRule="auto"/>
        <w:rPr>
          <w:rFonts w:ascii="Calibri" w:eastAsia="Calibri" w:hAnsi="Calibri" w:cs="Calibri"/>
          <w:b/>
          <w:bCs/>
        </w:rPr>
      </w:pPr>
      <w:r w:rsidRPr="24CA07DD">
        <w:rPr>
          <w:rFonts w:ascii="Calibri" w:eastAsia="Calibri" w:hAnsi="Calibri" w:cs="Calibri"/>
          <w:b/>
          <w:bCs/>
        </w:rPr>
        <w:t xml:space="preserve">Część 2. </w:t>
      </w:r>
      <w:r w:rsidR="120CAB0F" w:rsidRPr="24CA07DD">
        <w:rPr>
          <w:rFonts w:ascii="Calibri" w:eastAsia="Calibri" w:hAnsi="Calibri" w:cs="Calibri"/>
          <w:b/>
          <w:bCs/>
        </w:rPr>
        <w:t xml:space="preserve">Dostawa </w:t>
      </w:r>
      <w:r w:rsidRPr="24CA07DD">
        <w:rPr>
          <w:rFonts w:ascii="Calibri" w:eastAsia="Calibri" w:hAnsi="Calibri" w:cs="Calibri"/>
          <w:b/>
          <w:bCs/>
        </w:rPr>
        <w:t>UPS - 1 sztuka</w:t>
      </w:r>
    </w:p>
    <w:p w14:paraId="3A28C9AF" w14:textId="4037FE6C" w:rsidR="24CA07DD" w:rsidRDefault="1919E429" w:rsidP="1C652A85">
      <w:pPr>
        <w:spacing w:line="276" w:lineRule="auto"/>
      </w:pPr>
      <w:r w:rsidRPr="1C652A85">
        <w:rPr>
          <w:rFonts w:ascii="Calibri" w:eastAsia="Calibri" w:hAnsi="Calibri" w:cs="Calibri"/>
          <w:b/>
          <w:bCs/>
          <w:color w:val="FF0000"/>
        </w:rPr>
        <w:t xml:space="preserve"> </w:t>
      </w:r>
    </w:p>
    <w:tbl>
      <w:tblPr>
        <w:tblW w:w="0" w:type="auto"/>
        <w:tblInd w:w="120" w:type="dxa"/>
        <w:tblLayout w:type="fixed"/>
        <w:tblLook w:val="06A0" w:firstRow="1" w:lastRow="0" w:firstColumn="1" w:lastColumn="0" w:noHBand="1" w:noVBand="1"/>
      </w:tblPr>
      <w:tblGrid>
        <w:gridCol w:w="525"/>
        <w:gridCol w:w="1591"/>
        <w:gridCol w:w="6899"/>
      </w:tblGrid>
      <w:tr w:rsidR="1C652A85" w14:paraId="18133EC4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A1CBBB" w14:textId="177ED96B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LP.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685AFB" w14:textId="7D0FEF6A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Pojemność</w:t>
            </w:r>
          </w:p>
          <w:p w14:paraId="2011B8F9" w14:textId="118E06B1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Baterii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35FB8F" w14:textId="3E6E3FCD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 xml:space="preserve">2000VA/ 2000W </w:t>
            </w:r>
          </w:p>
        </w:tc>
      </w:tr>
      <w:tr w:rsidR="1C652A85" w14:paraId="2F3714EE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6BD9AC" w14:textId="2AC8BF50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1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B6AFBE" w14:textId="3369FA8E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Interfejsy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BD3C9E" w14:textId="39BB323F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Ethernet, Port Szeregowy, USB B, HDMI, IOT</w:t>
            </w:r>
          </w:p>
        </w:tc>
      </w:tr>
      <w:tr w:rsidR="1C652A85" w14:paraId="78B0339F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642B5A" w14:textId="3418FCD1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D56527" w14:textId="3D7DAF0B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 xml:space="preserve">Napięcie Ładowania 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5E1DE" w14:textId="63AEBC08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160-300 VAC</w:t>
            </w:r>
          </w:p>
        </w:tc>
      </w:tr>
      <w:tr w:rsidR="1C652A85" w14:paraId="10315B90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1912D1" w14:textId="25AE50D5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3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86E4E" w14:textId="548818CF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Częstotliwość</w:t>
            </w:r>
          </w:p>
          <w:p w14:paraId="262BB666" w14:textId="4C4570CE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Ładowania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D3C45A" w14:textId="44A74702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40Hz - 70Hz</w:t>
            </w:r>
          </w:p>
        </w:tc>
      </w:tr>
      <w:tr w:rsidR="1C652A85" w14:paraId="615BF713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9569BD" w14:textId="10E12C70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4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34D3DC" w14:textId="36208FC2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Porty Ładowania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6672D5" w14:textId="3CC13248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IEC C20/IEC C14</w:t>
            </w:r>
          </w:p>
        </w:tc>
      </w:tr>
      <w:tr w:rsidR="1C652A85" w14:paraId="125DBAC7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0D4D8C" w14:textId="37EE100E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5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5614B2" w14:textId="6A211CE2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 xml:space="preserve">Napięcie Wyjścia 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B84541" w14:textId="213C6A23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200/208/220/230/240 VAC</w:t>
            </w:r>
          </w:p>
        </w:tc>
      </w:tr>
      <w:tr w:rsidR="1C652A85" w14:paraId="60EE5228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244EE7" w14:textId="272D76E0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6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FE13EF" w14:textId="2B373ACC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Regulacja Napięcia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A48A1D" w14:textId="3DC2A95C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+/- 1%</w:t>
            </w:r>
          </w:p>
        </w:tc>
      </w:tr>
      <w:tr w:rsidR="1C652A85" w14:paraId="4C547B7E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B7F587" w14:textId="52C3B79A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7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76D127" w14:textId="22B720EF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Regulacja Cz</w:t>
            </w:r>
            <w:r w:rsidR="02432C61" w:rsidRPr="1C652A85">
              <w:rPr>
                <w:rFonts w:ascii="Calibri" w:eastAsia="Calibri" w:hAnsi="Calibri" w:cs="Calibri"/>
                <w:b/>
                <w:bCs/>
              </w:rPr>
              <w:t>ę</w:t>
            </w:r>
            <w:r w:rsidRPr="1C652A85">
              <w:rPr>
                <w:rFonts w:ascii="Calibri" w:eastAsia="Calibri" w:hAnsi="Calibri" w:cs="Calibri"/>
                <w:b/>
                <w:bCs/>
              </w:rPr>
              <w:t>stotliwości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A7954F" w14:textId="37746112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+/- 0.2Hz</w:t>
            </w:r>
          </w:p>
        </w:tc>
      </w:tr>
      <w:tr w:rsidR="1C652A85" w14:paraId="47DFB9D7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88BEFE" w14:textId="2CD26916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8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DF73CC" w14:textId="04AD5869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Porty Wyjścia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89F52F" w14:textId="1AFA093B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IEC C13 (8)</w:t>
            </w:r>
          </w:p>
        </w:tc>
      </w:tr>
      <w:tr w:rsidR="1C652A85" w14:paraId="44D0039F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9C779D" w14:textId="6D6A5456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9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6617D2" w14:textId="38E9A218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Programowalny Wyświetlacz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92AD71" w14:textId="2F834362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TAK</w:t>
            </w:r>
          </w:p>
        </w:tc>
      </w:tr>
      <w:tr w:rsidR="1C652A85" w14:paraId="16BF8E2C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CD0B29" w14:textId="72DE2F78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10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861A4E" w14:textId="53BBA61A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 xml:space="preserve">Baterie 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4E77D4" w14:textId="3A0D3EA6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6 x 12V/ 7Ah</w:t>
            </w:r>
          </w:p>
        </w:tc>
      </w:tr>
      <w:tr w:rsidR="1C652A85" w14:paraId="0C6D85BC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ABA073" w14:textId="2EC34906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11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E80A63" w14:textId="276BE278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Prędkość Ładowania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02B9F6" w14:textId="078757EE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>3h do 90%</w:t>
            </w:r>
          </w:p>
        </w:tc>
      </w:tr>
      <w:tr w:rsidR="1C652A85" w14:paraId="77071DDB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2EB38" w14:textId="63AA9E7B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12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5EE2E0" w14:textId="6D9E8B7F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 xml:space="preserve">Czas rozładowania </w:t>
            </w:r>
            <w:r w:rsidRPr="1C652A85">
              <w:rPr>
                <w:rFonts w:ascii="Calibri" w:eastAsia="Calibri" w:hAnsi="Calibri" w:cs="Calibri"/>
                <w:b/>
                <w:bCs/>
              </w:rPr>
              <w:lastRenderedPageBreak/>
              <w:t>pod pełnym obciążeniem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3B1FA0" w14:textId="0F6EEBF7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lastRenderedPageBreak/>
              <w:t>4.4 min</w:t>
            </w:r>
          </w:p>
        </w:tc>
      </w:tr>
      <w:tr w:rsidR="1C652A85" w14:paraId="28582FA7" w14:textId="77777777" w:rsidTr="1C652A85">
        <w:trPr>
          <w:trHeight w:val="435"/>
        </w:trPr>
        <w:tc>
          <w:tcPr>
            <w:tcW w:w="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CFF770" w14:textId="5A3F9DA8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>13</w:t>
            </w:r>
          </w:p>
        </w:tc>
        <w:tc>
          <w:tcPr>
            <w:tcW w:w="1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D16D63" w14:textId="67DEFC25" w:rsidR="1C652A85" w:rsidRDefault="1C652A85" w:rsidP="1C652A85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C652A85">
              <w:rPr>
                <w:rFonts w:ascii="Calibri" w:eastAsia="Calibri" w:hAnsi="Calibri" w:cs="Calibri"/>
                <w:b/>
                <w:bCs/>
              </w:rPr>
              <w:t xml:space="preserve">Możliwość </w:t>
            </w:r>
            <w:proofErr w:type="spellStart"/>
            <w:r w:rsidRPr="1C652A85">
              <w:rPr>
                <w:rFonts w:ascii="Calibri" w:eastAsia="Calibri" w:hAnsi="Calibri" w:cs="Calibri"/>
                <w:b/>
                <w:bCs/>
              </w:rPr>
              <w:t>HotSwapa</w:t>
            </w:r>
            <w:proofErr w:type="spellEnd"/>
            <w:r w:rsidRPr="1C652A85">
              <w:rPr>
                <w:rFonts w:ascii="Calibri" w:eastAsia="Calibri" w:hAnsi="Calibri" w:cs="Calibri"/>
                <w:b/>
                <w:bCs/>
              </w:rPr>
              <w:t xml:space="preserve"> baterii</w:t>
            </w:r>
          </w:p>
        </w:tc>
        <w:tc>
          <w:tcPr>
            <w:tcW w:w="6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12D283" w14:textId="15B82FEA" w:rsidR="1C652A85" w:rsidRDefault="1C652A85" w:rsidP="1C652A85">
            <w:pPr>
              <w:spacing w:line="257" w:lineRule="auto"/>
            </w:pPr>
            <w:r w:rsidRPr="1C652A85">
              <w:rPr>
                <w:rFonts w:ascii="Calibri" w:eastAsia="Calibri" w:hAnsi="Calibri" w:cs="Calibri"/>
              </w:rPr>
              <w:t xml:space="preserve">Tak                                                                                  </w:t>
            </w:r>
          </w:p>
        </w:tc>
      </w:tr>
    </w:tbl>
    <w:p w14:paraId="235A8960" w14:textId="39F0F927" w:rsidR="24CA07DD" w:rsidRDefault="24CA07DD" w:rsidP="1C652A85">
      <w:pPr>
        <w:spacing w:line="257" w:lineRule="auto"/>
        <w:rPr>
          <w:rFonts w:ascii="Calibri" w:eastAsia="Calibri" w:hAnsi="Calibri" w:cs="Calibri"/>
        </w:rPr>
      </w:pPr>
    </w:p>
    <w:p w14:paraId="60158C0A" w14:textId="6508CF30" w:rsidR="24CA07DD" w:rsidRDefault="24CA07DD" w:rsidP="24CA07DD">
      <w:pPr>
        <w:spacing w:line="276" w:lineRule="auto"/>
        <w:rPr>
          <w:rFonts w:ascii="Calibri" w:eastAsia="Calibri" w:hAnsi="Calibri" w:cs="Calibri"/>
          <w:b/>
          <w:bCs/>
          <w:color w:val="FF0000"/>
        </w:rPr>
      </w:pPr>
    </w:p>
    <w:p w14:paraId="158615EA" w14:textId="0CBCD5F9" w:rsidR="24CA07DD" w:rsidRDefault="24CA07DD" w:rsidP="24CA07DD">
      <w:pPr>
        <w:spacing w:line="276" w:lineRule="auto"/>
        <w:rPr>
          <w:rFonts w:ascii="Calibri" w:eastAsia="Calibri" w:hAnsi="Calibri" w:cs="Calibri"/>
          <w:b/>
          <w:bCs/>
          <w:color w:val="FF0000"/>
        </w:rPr>
      </w:pPr>
    </w:p>
    <w:p w14:paraId="13BC9BCB" w14:textId="7BF7AF6B" w:rsidR="00DB6AD0" w:rsidRDefault="22C0DD09" w:rsidP="6D50D4B0">
      <w:pPr>
        <w:spacing w:line="257" w:lineRule="auto"/>
      </w:pP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Część 3. </w:t>
      </w:r>
      <w:r w:rsidR="7F5D1A04" w:rsidRPr="24CA07DD">
        <w:rPr>
          <w:rFonts w:ascii="Calibri" w:eastAsia="Calibri" w:hAnsi="Calibri" w:cs="Calibri"/>
          <w:b/>
          <w:bCs/>
          <w:color w:val="000000" w:themeColor="text1"/>
        </w:rPr>
        <w:t>Dostawa u</w:t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>rządzeni</w:t>
      </w:r>
      <w:r w:rsidR="18DBA3CA" w:rsidRPr="24CA07DD">
        <w:rPr>
          <w:rFonts w:ascii="Calibri" w:eastAsia="Calibri" w:hAnsi="Calibri" w:cs="Calibri"/>
          <w:b/>
          <w:bCs/>
          <w:color w:val="000000" w:themeColor="text1"/>
        </w:rPr>
        <w:t>a</w:t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 wielofunkcyjne</w:t>
      </w:r>
      <w:r w:rsidR="7A86B406" w:rsidRPr="24CA07DD">
        <w:rPr>
          <w:rFonts w:ascii="Calibri" w:eastAsia="Calibri" w:hAnsi="Calibri" w:cs="Calibri"/>
          <w:b/>
          <w:bCs/>
          <w:color w:val="000000" w:themeColor="text1"/>
        </w:rPr>
        <w:t>go</w:t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 - 1 sztuka</w:t>
      </w:r>
      <w:r w:rsidR="1919E429"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50"/>
        <w:gridCol w:w="3410"/>
        <w:gridCol w:w="5155"/>
      </w:tblGrid>
      <w:tr w:rsidR="24CA07DD" w14:paraId="52780D91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875BA" w14:textId="7D8DD4FF" w:rsidR="24CA07DD" w:rsidRDefault="24CA07DD" w:rsidP="24CA07D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42998" w14:textId="3DAB3CCD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NAZWA PARAMETRU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5A761" w14:textId="39008C0D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WYMAGANIA MINIMALNE</w:t>
            </w:r>
          </w:p>
        </w:tc>
      </w:tr>
      <w:tr w:rsidR="24CA07DD" w14:paraId="4366D9E4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3D476" w14:textId="6D24B31A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E884F" w14:textId="181F6110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Technologia druku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CD593" w14:textId="038CF8D3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technologia laserowa, czterobębnowa </w:t>
            </w:r>
          </w:p>
        </w:tc>
      </w:tr>
      <w:tr w:rsidR="24CA07DD" w14:paraId="20A20364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7DCDB" w14:textId="5B715536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1BF8A" w14:textId="5E4C4118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Format oryginału i kopii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9971E" w14:textId="70B3EB8D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A6-A3</w:t>
            </w:r>
          </w:p>
        </w:tc>
      </w:tr>
      <w:tr w:rsidR="24CA07DD" w14:paraId="1B2ED7F2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C0F09" w14:textId="6AEB60B4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FB902" w14:textId="350F381D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Prędkość drukowania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9C4A3" w14:textId="0047426E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Min. 25 stron A4 / min. w kolorze i mono, (również dwustronnie)</w:t>
            </w:r>
          </w:p>
        </w:tc>
      </w:tr>
      <w:tr w:rsidR="24CA07DD" w14:paraId="278AE438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B5F0D" w14:textId="69876631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C3EA9" w14:textId="5B8A4D7E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Obsługiwane rozdzielczości drukowania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2DB70" w14:textId="76C028E1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600 x 600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dpi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oraz 1200x1200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dpi</w:t>
            </w:r>
            <w:proofErr w:type="spellEnd"/>
          </w:p>
        </w:tc>
      </w:tr>
      <w:tr w:rsidR="24CA07DD" w14:paraId="08D6A469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FFB43" w14:textId="693F1132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BCA31" w14:textId="554B3188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Czas wydruku pierwszej strony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564CD" w14:textId="21A33628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kolorowej maks. 10 sek., czarno-białej maks. 7 sek.</w:t>
            </w:r>
          </w:p>
        </w:tc>
      </w:tr>
      <w:tr w:rsidR="24CA07DD" w14:paraId="4129B8DD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2F71F" w14:textId="4C528E88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83CB0" w14:textId="3ED74E23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Czas nagrzewania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05386" w14:textId="482CCCE4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maks. 20 sek. od włączenia zasilania</w:t>
            </w:r>
          </w:p>
        </w:tc>
      </w:tr>
      <w:tr w:rsidR="24CA07DD" w14:paraId="7FA6DF6C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23550" w14:textId="707DD763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8D114" w14:textId="6D34E6B2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Kopiowanie wielokrotne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A79EF" w14:textId="19EE3A1F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od 1 do 9999 kopii</w:t>
            </w:r>
          </w:p>
        </w:tc>
      </w:tr>
      <w:tr w:rsidR="24CA07DD" w14:paraId="36431112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D1801" w14:textId="356D7C63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8C8F7" w14:textId="1EC4A031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Pamięć RAM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600BF" w14:textId="1F325E36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min. 4 GB</w:t>
            </w:r>
          </w:p>
        </w:tc>
      </w:tr>
      <w:tr w:rsidR="24CA07DD" w14:paraId="377706FD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28BE7" w14:textId="4AD9B76C" w:rsidR="24CA07DD" w:rsidRDefault="24CA07DD" w:rsidP="24CA07DD">
            <w:pPr>
              <w:tabs>
                <w:tab w:val="center" w:pos="2016"/>
              </w:tabs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E120A" w14:textId="12D89115" w:rsidR="24CA07DD" w:rsidRDefault="24CA07DD" w:rsidP="24CA07DD">
            <w:pPr>
              <w:tabs>
                <w:tab w:val="center" w:pos="2016"/>
              </w:tabs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Dysk SSD lub HDD</w:t>
            </w:r>
            <w:r>
              <w:tab/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277D8" w14:textId="7BEA4DD1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min. 32 GB</w:t>
            </w:r>
          </w:p>
        </w:tc>
      </w:tr>
      <w:tr w:rsidR="24CA07DD" w14:paraId="7D422CF8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0B32A" w14:textId="733591B2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4DD5F" w14:textId="5148AB57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Zoom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B7C9B" w14:textId="6B7B9FE1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25-400% </w:t>
            </w:r>
          </w:p>
        </w:tc>
      </w:tr>
      <w:tr w:rsidR="24CA07DD" w14:paraId="78163D64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28440" w14:textId="5D56C76C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67F01" w14:textId="5C54BBD4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Panel operatora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8E119" w14:textId="1295BB2E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Panel operatora wyposażony w kolorowy ekran dotykowy LCD, o przekątnej min. 10 cali, w języku polskim. Panel z płynna regulacją kąta nachylenia. </w:t>
            </w:r>
          </w:p>
        </w:tc>
      </w:tr>
      <w:tr w:rsidR="24CA07DD" w14:paraId="206D974B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764EC" w14:textId="78930908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E4441" w14:textId="46854826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Dupleks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56607" w14:textId="63D35342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automatyczny, obsługa papieru 80-250 g/m2</w:t>
            </w:r>
          </w:p>
        </w:tc>
      </w:tr>
      <w:tr w:rsidR="24CA07DD" w14:paraId="5FCC440F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60A93" w14:textId="0CFB458C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AFF11" w14:textId="088264B8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Podajnik dokumentów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4189E" w14:textId="04C74848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Automatyczny dwustronny, pojemność tacy podającej min. 140 ark. (A4, 80 g/m2)</w:t>
            </w:r>
          </w:p>
        </w:tc>
      </w:tr>
      <w:tr w:rsidR="24CA07DD" w14:paraId="064BA2F4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18A66" w14:textId="28B3D99F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EBF21" w14:textId="73CD0E4D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Podajniki papieru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4C00A" w14:textId="533C1DF8" w:rsidR="24CA07DD" w:rsidRDefault="24CA07DD" w:rsidP="24CA07DD">
            <w:pPr>
              <w:pStyle w:val="Akapitzlist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podajnik automatyczny min. 2 x 500 ark. (80 g/m2), obsługa papieru 60-300 g/m2 (w tym min. jeden obsługujący papier formatu A3);</w:t>
            </w:r>
          </w:p>
          <w:p w14:paraId="465F6C2C" w14:textId="31B74D66" w:rsidR="24CA07DD" w:rsidRDefault="24CA07DD" w:rsidP="24CA07DD">
            <w:pPr>
              <w:pStyle w:val="Akapitzlist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taca boczna na min. 150 ark. (A4, 80 g/m2), obsługa papieru A6-A3, 60-300 g/m2   </w:t>
            </w:r>
          </w:p>
        </w:tc>
      </w:tr>
      <w:tr w:rsidR="24CA07DD" w14:paraId="02E6FDB7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A5787" w14:textId="78A6302A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F0C51" w14:textId="56336F74" w:rsidR="24CA07DD" w:rsidRDefault="24CA07DD" w:rsidP="24CA07D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Odbiór wydruków i kopii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0382E" w14:textId="2E28051F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Taca odbiorcza na min. 500 arkuszy (80 g/m2)</w:t>
            </w:r>
          </w:p>
        </w:tc>
      </w:tr>
      <w:tr w:rsidR="24CA07DD" w14:paraId="4A98DF9C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62950" w14:textId="02F8FE23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9D3E6" w14:textId="02635B73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Podstawa mobilna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DB51" w14:textId="1372FAE4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Dedykowana, podstawa producenta urządzenia z katalogu dostępnych fabrycznie opcji, zamykana, na kółkach. </w:t>
            </w: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Dopasowana kolorystycznie, wzorniczo i kształtem do obudowy urządzenia.</w:t>
            </w:r>
          </w:p>
        </w:tc>
      </w:tr>
      <w:tr w:rsidR="24CA07DD" w14:paraId="1C01DCE7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E60F0" w14:textId="172705E4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18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EB06B" w14:textId="3C123126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Język opisu strony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0C39B" w14:textId="5CAA8D2C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PCL 6, Post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Script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Level 3 (dopuszcza się emulacje)</w:t>
            </w:r>
          </w:p>
        </w:tc>
      </w:tr>
      <w:tr w:rsidR="24CA07DD" w14:paraId="38F33623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C2CA9" w14:textId="6445DE2D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A7E8D" w14:textId="3ABCA421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Interfejsy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BAF38" w14:textId="2296B9EF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USB 2.0, Ethernet 10/100/1000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Mb</w:t>
            </w:r>
            <w:proofErr w:type="spellEnd"/>
          </w:p>
        </w:tc>
      </w:tr>
      <w:tr w:rsidR="24CA07DD" w14:paraId="027A084E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76E9F" w14:textId="351BE4BB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A5DAC" w14:textId="546FB13E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Funkcje skanowania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C47EB" w14:textId="62CC9DD8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skanowanie do PC, do e-mail, do FTP, TWAIN (sieciowy), do pamięci przenośnej USB, WIA, SMB, do skrzynki dokumentów</w:t>
            </w:r>
          </w:p>
        </w:tc>
      </w:tr>
      <w:tr w:rsidR="24CA07DD" w14:paraId="62D4C3B0" w14:textId="77777777" w:rsidTr="24CA07DD">
        <w:trPr>
          <w:trHeight w:val="54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547FF" w14:textId="4CE1DC3D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5262A" w14:textId="0D396BAA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Rozdzielczość skanowania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D9EE6" w14:textId="6FDE74E8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600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dpi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24CA07DD" w14:paraId="7C47DF39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8810A" w14:textId="3F150252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E5E2C" w14:textId="6D97F959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Prędkość skanowania kolorowego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BC39D" w14:textId="6870617F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min. 80 str. / min. (A4, 300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dpi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</w:p>
        </w:tc>
      </w:tr>
      <w:tr w:rsidR="24CA07DD" w14:paraId="74817BD4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B84EF" w14:textId="57D3B9E1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41EAF" w14:textId="03481877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Typy plików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0C0B8" w14:textId="061E3A40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PDF, PDF/A, PDF szyfrowany, PDF kompresowany, JPEG, TIFF, XPS,</w:t>
            </w:r>
          </w:p>
          <w:p w14:paraId="74778B81" w14:textId="7AA37EAA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Opcjonalnie: PDF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przeszukiwalny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docx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xlsx</w:t>
            </w:r>
            <w:proofErr w:type="spellEnd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pptx</w:t>
            </w:r>
            <w:proofErr w:type="spellEnd"/>
          </w:p>
        </w:tc>
      </w:tr>
      <w:tr w:rsidR="24CA07DD" w14:paraId="4CA48789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EF16E" w14:textId="690FD584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A274C" w14:textId="2FBE8638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Wymagania dodatkowe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5739C" w14:textId="35563663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Urządzenie wyposażone w moduł serwisowy przeznaczony do zgłaszania problemów serwisowych dostępny dla użytkownika końcowego. Zgłaszanie problemów serwisowych powinno być możliwe zarówno w trybie automatycznym jak i ręcznym. W trybie ręcznym poprzez panel urządzenia, z opcją przesłania zgłoszenia w postaci wiadomości email.</w:t>
            </w:r>
          </w:p>
        </w:tc>
      </w:tr>
      <w:tr w:rsidR="24CA07DD" w14:paraId="414C88F3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6B0DF" w14:textId="36A9673C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C629" w14:textId="0496E075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Materiały eksploatacyjne jako wyposażenie standardowe (dostarczone w komplecie z urządzeniem)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96636" w14:textId="4DA52227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Tonery:</w:t>
            </w: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 ilości, która zapewni wydrukowanie minimum 10 000 stron kolorowych A4 (przy 5% pokryciu)</w:t>
            </w:r>
          </w:p>
          <w:p w14:paraId="19ED6B6C" w14:textId="3AA0F63C" w:rsidR="24CA07DD" w:rsidRDefault="24CA07DD" w:rsidP="24CA07DD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Bębny:</w:t>
            </w: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 ilości, która zapewni wydrukowanie minimum 200 000 stron kolorowych A4. Dostarczone materiały muszą być nowe i nieużywane, oraz wyprodukowane przez producenta oferowanych urządzeń.</w:t>
            </w:r>
          </w:p>
        </w:tc>
      </w:tr>
      <w:tr w:rsidR="24CA07DD" w14:paraId="5F9F10A5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2A21D" w14:textId="00954986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94DD6" w14:textId="31C59736" w:rsidR="24CA07DD" w:rsidRDefault="24CA07DD" w:rsidP="24CA07D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Możliwość rozbudowy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C9597" w14:textId="523E05EA" w:rsidR="24CA07DD" w:rsidRDefault="24CA07DD" w:rsidP="24CA07DD">
            <w:pPr>
              <w:pStyle w:val="Akapitzlist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Podajniki papieru na min. 6000 ark. (A4, 80 g/m2) </w:t>
            </w:r>
          </w:p>
          <w:p w14:paraId="5E0571B6" w14:textId="08BF3545" w:rsidR="24CA07DD" w:rsidRDefault="24CA07DD" w:rsidP="24CA07DD">
            <w:pPr>
              <w:pStyle w:val="Akapitzlist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Standardowy faks klasy Super G3 </w:t>
            </w:r>
          </w:p>
          <w:p w14:paraId="69014C7D" w14:textId="37EF5313" w:rsidR="24CA07DD" w:rsidRDefault="24CA07DD" w:rsidP="24CA07DD">
            <w:pPr>
              <w:pStyle w:val="Akapitzlist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Finiszer zszywający, min. 1 taca odbiorcza o pojemności min. 4.000 ark. (A4, 80 g/m2), </w:t>
            </w:r>
          </w:p>
        </w:tc>
      </w:tr>
      <w:tr w:rsidR="24CA07DD" w14:paraId="48214EAE" w14:textId="77777777" w:rsidTr="24CA07DD">
        <w:trPr>
          <w:trHeight w:val="30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4CCC3" w14:textId="091316C7" w:rsidR="24CA07DD" w:rsidRDefault="24CA07DD" w:rsidP="24CA07D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EE63D" w14:textId="32257407" w:rsidR="24CA07DD" w:rsidRDefault="24CA07DD" w:rsidP="24CA07D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Wymagania dodatkowe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F4332" w14:textId="53070FB6" w:rsidR="24CA07DD" w:rsidRDefault="24CA07DD" w:rsidP="24CA07DD">
            <w:pPr>
              <w:pStyle w:val="Akapitzlist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CA07D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Certyfikaty ISO 9001:2015 i ISO 14001:2015, producenta oferowanego sprzętu - załączyć do oferty</w:t>
            </w:r>
          </w:p>
        </w:tc>
      </w:tr>
    </w:tbl>
    <w:p w14:paraId="60052347" w14:textId="6B77A77D" w:rsidR="00DB6AD0" w:rsidRDefault="00DB6AD0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</w:p>
    <w:p w14:paraId="57375426" w14:textId="6AA0CCD1" w:rsidR="00DB6AD0" w:rsidRDefault="5367C5DD" w:rsidP="24CA07DD">
      <w:pPr>
        <w:rPr>
          <w:b/>
          <w:bCs/>
        </w:rPr>
      </w:pPr>
      <w:r w:rsidRPr="24CA07DD">
        <w:rPr>
          <w:b/>
          <w:bCs/>
        </w:rPr>
        <w:t>Część 4. Dostawa zestawu licencji oprogramowania biurowego – 22 sztuki</w:t>
      </w:r>
    </w:p>
    <w:p w14:paraId="4A87962B" w14:textId="191B7384" w:rsidR="24CA07DD" w:rsidRDefault="24CA07DD" w:rsidP="24CA07DD">
      <w:pPr>
        <w:rPr>
          <w:b/>
          <w:bCs/>
        </w:rPr>
      </w:pPr>
    </w:p>
    <w:p w14:paraId="5B7E1291" w14:textId="709829C1" w:rsidR="699C8EA7" w:rsidRDefault="699C8EA7" w:rsidP="24CA07DD">
      <w:pPr>
        <w:spacing w:line="257" w:lineRule="auto"/>
        <w:jc w:val="both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Przedmiotem zamówienia jest budowa zestawu licencji oprogramowania Microsoft 365 spełniającego wymagania wskazane w pkt 1-2 lub dostawa oprogramowania równoważnego spełniającego wymagania wskazane w Załączniku nr 1 do OPZ w ramach projektu grantowego “Cyfrowa Gmina” współfinansowanego z  Europejskiego Funduszu Rozwoju Regionalnego, Program Operacyjny Polska Cyfrowa na lata 2014-2020 Osi Priorytetowej V Rozwój cyfrowy JST oraz wzmocnienie cyfrowej odporności na zagrożenia - REACT –EU Działanie 5.1. Rozwój cyfrowy JST oraz wzmocnienie cyfrowej odporności na zagrożenia. </w:t>
      </w:r>
    </w:p>
    <w:p w14:paraId="1B2FB7DB" w14:textId="48A7F85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 xml:space="preserve"> </w:t>
      </w:r>
    </w:p>
    <w:p w14:paraId="0CE92D01" w14:textId="77ED5F7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 Wymagania </w:t>
      </w:r>
    </w:p>
    <w:p w14:paraId="37E0D7BB" w14:textId="76A03ED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1.1. Przedmiot zamówienia obejmuje dostawę: </w:t>
      </w:r>
    </w:p>
    <w:p w14:paraId="16158B14" w14:textId="0D22615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1.1.1. Licencji na oprogramowanie Microsoft Office Home &amp; Business 2021 PL (wersje “pudełkowe” z licencją przypisaną do konkretnej maszyny z możliwością przeniesienia danej licencji na inną maszynę, w ramach której nie ma dodatkowych kosztów z racji korzystania z danego oprogramowania - 22 sztuki) lub oprogramowania równoważnego (Oprogramowanie).</w:t>
      </w:r>
    </w:p>
    <w:p w14:paraId="35F59D0B" w14:textId="5FABB35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1.2. Zamawiający wymaga, aby czas trwania każdej zakupionej licencji Oprogramowania był na okres 12 miesięcy licząc od dnia aktywacji licencji. </w:t>
      </w:r>
    </w:p>
    <w:p w14:paraId="38D07F95" w14:textId="634288B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1.3. Zamawiający wymaga, aby dostawa nastąpiła w jednej transzy w ciągu 14 dni od podpisania umowy obejmujące licencje Microsoft Office Home &amp; Business 2021 PL (wersje “pudełkowe” - 22 sztuki) lub oprogramowanie równoważne.</w:t>
      </w:r>
    </w:p>
    <w:p w14:paraId="0FB093AE" w14:textId="3670892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1.4. Potwierdzeniem odbioru dostawy licencji będą podpisane przez Wykonawcę i Zamawiającego Protokoły Odbioru Licencji. </w:t>
      </w:r>
    </w:p>
    <w:p w14:paraId="012E3576" w14:textId="71874DF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*Liczba licencji jest liczbą faktycznie wymagana przez Zamawiającego.  </w:t>
      </w:r>
    </w:p>
    <w:p w14:paraId="0AE5BBCF" w14:textId="45E8D4B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 Wymagania ogólne </w:t>
      </w:r>
    </w:p>
    <w:p w14:paraId="33E1E8F3" w14:textId="2B6E26E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2.1. Zamawiający wymaga dostawy Oprogramowania na warunkach określonych przez producenta Oprogramowania. </w:t>
      </w:r>
    </w:p>
    <w:p w14:paraId="79033A70" w14:textId="206CC4A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2.2. Oprogramowanie musi pozwalać na swobodne przenoszenie pomiędzy stacjami roboczymi lub serwerami (np. w przypadku wymiany lub uszkodzenia sprzętu). </w:t>
      </w:r>
    </w:p>
    <w:p w14:paraId="2B295DC6" w14:textId="17910CC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2.3. Oprogramowanie musi gwarantować dostępność najnowszej wersji Oprogramowania oraz bieżące jego poprawki i uaktualnienia w trakcie trwania umowy (aktualizacja). </w:t>
      </w:r>
    </w:p>
    <w:p w14:paraId="4ECD8134" w14:textId="2A32588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2.4. Z uwagi na zakres funkcjonalny wdrożenia planowanego na bazie Oprogramowania oraz konieczności minimalizacji kosztów związanych z wdrożeniem i eksploatacją systemów, </w:t>
      </w:r>
    </w:p>
    <w:p w14:paraId="6C4974C9" w14:textId="6B6A4D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Zamawiający wymaga oferty zawierającej Oprogramowanie umożliwiające wykorzystanie wspólnych i jednolitych procedur masowej instalacji, uaktualniania, zarządzania, monitorowania i wsparcia technicznego. </w:t>
      </w:r>
    </w:p>
    <w:p w14:paraId="131E3236" w14:textId="053F006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2.5. W ramach procedury odbiorczej Wykonawca w terminie do 14 dni od dnia zawarcia umowy zapewni dostęp do spersonalizowanej strony pozwalającej upoważnionym ze strony Zamawiającego osobom na: </w:t>
      </w:r>
    </w:p>
    <w:p w14:paraId="12796354" w14:textId="7A63105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2.5.1. Pobieranie Oprogramowania. </w:t>
      </w:r>
    </w:p>
    <w:p w14:paraId="2D441E3D" w14:textId="6CB95B9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2.5.2. Pobieranie kluczy aktywacyjnych do Oprogramowania. </w:t>
      </w:r>
    </w:p>
    <w:p w14:paraId="0D1079C7" w14:textId="5148858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2.5.3. Sprawdzanie liczby zakupionych licencji w wykazie Oprogramowania. </w:t>
      </w:r>
    </w:p>
    <w:p w14:paraId="4B2027FE" w14:textId="03181A2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2.6. Po dziewięćdziesięciu (90) dniach od zakończenia okresu trwania umowy lub jej rozwiązania na innej podstawie, Wykonawca zapewni możliwość wyłączenia konta na spersonalizowanej stronie Zamawiającego i trwałe usunięcie jego danych. </w:t>
      </w:r>
    </w:p>
    <w:p w14:paraId="451347B8" w14:textId="2A81790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2.7. Wykonawca zapewni, że Oprogramowanie nie narusza prawa autorskiego. </w:t>
      </w:r>
    </w:p>
    <w:p w14:paraId="3A0EE907" w14:textId="47F8307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 xml:space="preserve">3. Kryteria równoważności </w:t>
      </w:r>
    </w:p>
    <w:p w14:paraId="073F9A02" w14:textId="17CA328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Opis kryteriów równoważności oprogramowania wymienionego w pkt. 1.1 znajduje się w Załączniku nr 1 do Opisu Przedmiotu Zamówienia.  </w:t>
      </w:r>
    </w:p>
    <w:p w14:paraId="340431E9" w14:textId="2320320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6E291B4B" w14:textId="4E9B49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3E6DF923" w14:textId="68A2076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EF7FA94" w14:textId="0F65274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7EF05F7" w14:textId="6723D88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776E0598" w14:textId="4F7BA98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6EE574A7" w14:textId="218FD06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63F4E286" w14:textId="0BE250A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45D0642C" w14:textId="7A31DFB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C1A37BA" w14:textId="2E16193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2EECEE0B" w14:textId="3EE526D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B7DD4C0" w14:textId="14DD59C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0C2CFE5" w14:textId="5E805A9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5D46C602" w14:textId="0A680B5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B8396A3" w14:textId="5194C6E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3E2E826A" w14:textId="70DFD8D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35020E3" w14:textId="124CE9F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73A970C" w14:textId="171D506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3B18F32" w14:textId="77C30B3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46F9718" w14:textId="2297639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1CFA8BBD" w14:textId="4AE18CC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5165B1B7" w14:textId="6347A93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7F771C4" w14:textId="1CAC449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3506C011" w14:textId="0F5B22A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396C1815" w14:textId="43EA131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087ACCBD" w14:textId="6FA6564E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Załącznik nr 1 do OPZ</w:t>
      </w:r>
    </w:p>
    <w:p w14:paraId="0B19F15F" w14:textId="5AF746C4" w:rsidR="699C8EA7" w:rsidRDefault="699C8EA7" w:rsidP="24CA07DD">
      <w:pPr>
        <w:spacing w:line="257" w:lineRule="auto"/>
        <w:jc w:val="center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b/>
          <w:bCs/>
          <w:color w:val="000000" w:themeColor="text1"/>
        </w:rPr>
        <w:t>Opis kryteriów równoważnych.</w:t>
      </w: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60D759A0" w14:textId="03219A08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Jeżeli Zamawiający określił w OPZ wymagania z użyciem nazw własnych produktów lub marek producentów, w szczególności w obszarze specyfikacji przedmiotu zamówienia, to należy </w:t>
      </w:r>
      <w:r w:rsidRPr="24CA07DD">
        <w:rPr>
          <w:rFonts w:ascii="Calibri" w:eastAsia="Calibri" w:hAnsi="Calibri" w:cs="Calibri"/>
          <w:color w:val="000000" w:themeColor="text1"/>
        </w:rPr>
        <w:lastRenderedPageBreak/>
        <w:t>traktować wskazane produkty jako rozwiązania wzorcowe. W każdym takim przypadku Zamawiający oczekuje dostarczenia produktów wzorcowych lub równoważnych, spełniających poniższe warunki równoważności.</w:t>
      </w:r>
    </w:p>
    <w:p w14:paraId="045911E8" w14:textId="62DD54B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I. </w:t>
      </w:r>
      <w:r>
        <w:tab/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Zamawiający dopuszcza zaoferowanie produktów równoważnych do oprogramowania </w:t>
      </w:r>
      <w:r>
        <w:tab/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Microsoft Office Home &amp; Business 2021 PL </w:t>
      </w:r>
    </w:p>
    <w:p w14:paraId="0C71EE7C" w14:textId="2BB70F4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W przypadku dostarczania oprogramowania, równoważnego względem wyspecyfikowanego przez Zamawiającego w OPZ, Wykonawca musi na swoją odpowiedzialność i swój koszt udowodnić, że dostarczane oprogramowanie spełnia wszystkie wymagania i warunki określone w OPZ, w szczególności w zakresie:</w:t>
      </w:r>
    </w:p>
    <w:p w14:paraId="645448A1" w14:textId="34B5DF8E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warunków licencji/sublicencji w każdym aspekcie licencjonowania/sublicencjonowania, które muszą być identyczne lub rozszerzone, przy czym rozszerzony zakres musi zawierać również wszystkie elementy licencjonowania jak dla oprogramowania Microsoft Office Home &amp; Business 2021 PL,</w:t>
      </w:r>
    </w:p>
    <w:p w14:paraId="39B833C5" w14:textId="109AA742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b)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funkcjonalności równoważnej oprogramowania, która nie może być gorsza od funkcjonalności wymienionych w punkcie III - „Opis wymaganych minimalnych funkcjonalności w przypadku zaoferowania oprogramowania równoważnego”,</w:t>
      </w:r>
    </w:p>
    <w:p w14:paraId="26A7B769" w14:textId="17DED14A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c)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oprogramowanie równoważne musi być kompatybilne i w sposób niezakłócony współdziałać z oprogramowaniem Microsoft Windows 10 Professional/Enterprise, Microsoft Exchange, Microsoft ADDS, MAC OS funkcjonującym u Zamawiającego,</w:t>
      </w:r>
    </w:p>
    <w:p w14:paraId="141924C6" w14:textId="651B2804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oprogramowanie równoważne nie może zakłócić pracy środowiska systemowo-programowego Zamawiającego</w:t>
      </w:r>
    </w:p>
    <w:p w14:paraId="30744F1D" w14:textId="2DCBE5BC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e)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oprogramowanie równoważne musi w pełni współpracować z systemami Zamawiającego, opartymi o dotychczas użytkowane oprogramowanie.</w:t>
      </w:r>
    </w:p>
    <w:p w14:paraId="36C95534" w14:textId="63BE7387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f)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oprogramowanie równoważne musi zapewniać pełną, równoległą współpracę w czasie rzeczywistym i pełną funkcjonalną zamienność oprogramowania równoważnego z wyspecyfikowanym oprogramowaniem Microsoft Windows 10 Professional/Enterprise i Microsoft Exchange 2013/2016.</w:t>
      </w:r>
    </w:p>
    <w:p w14:paraId="630A9C3A" w14:textId="6445E29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 W przypadku zaoferowania przez Wykonawcę oprogramowania równoważnego Wykonawca dokona transferu wiedzy w zakresie utrzymania i rozwoju rozwiązania opartego o zaproponowane oprogramowanie. </w:t>
      </w:r>
    </w:p>
    <w:p w14:paraId="794BD1EC" w14:textId="6BE47BE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W przypadku, gdy zaoferowane przez Wykonawcę oprogramowanie równoważne nie będzie właściwie współdziałać ze sprzętem i oprogramowaniem funkcjonującym u Zamawiającego i/lub spowoduje zakłócenia w funkcjonowaniu pracy środowiska sprzętowo-programowego u Zamawiającego, Wykonawca pokryje wszystkie koszty związane z przywróceniem i sprawnym działaniem infrastruktury sprzętowo-programowej Zamawiającego oraz na własny koszt dokona niezbędnych modyfikacji przywracających właściwe działanie środowiska sprzętowo-programowego Zamawiającego również po usunięciu oprogramowania równoważnego.</w:t>
      </w:r>
    </w:p>
    <w:p w14:paraId="0C3CDC57" w14:textId="542CEB7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Oprogramowanie równoważne dostarczane przez Wykonawcę nie może powodować utraty kompatybilności oraz wsparcia producentów używanego i współpracującego z nim oprogramowania u Zamawiającego.</w:t>
      </w:r>
    </w:p>
    <w:p w14:paraId="785B2F1B" w14:textId="503EC6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5. Oprogramowanie równoważne zastosowane przez Wykonawcę nie może w momencie składania przez niego oferty mieć statusu zakończenia wsparcia technicznego producenta. Niedopuszczalne jest zastosowanie oprogramowania równoważnego, dla którego producent ogłosił zakończenie jego rozwoju w terminie 3 lat licząc od momentu złożenia oferty. Niedopuszczalne jest użycie oprogramowania równoważnego, dla którego producent oprogramowania współpracującego ogłosił zaprzestanie wsparcia w Jego nowszych wersjach.</w:t>
      </w:r>
    </w:p>
    <w:p w14:paraId="70B14DE2" w14:textId="41F91F8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b/>
          <w:bCs/>
          <w:color w:val="000000" w:themeColor="text1"/>
        </w:rPr>
        <w:t xml:space="preserve">II. </w:t>
      </w:r>
      <w:r>
        <w:tab/>
      </w:r>
      <w:r w:rsidRPr="24CA07DD">
        <w:rPr>
          <w:rFonts w:ascii="Calibri" w:eastAsia="Calibri" w:hAnsi="Calibri" w:cs="Calibri"/>
          <w:b/>
          <w:bCs/>
          <w:color w:val="000000" w:themeColor="text1"/>
        </w:rPr>
        <w:t>W przypadku dostawy oprogramowania równoważnego Wykonawca zobowiązany jest:</w:t>
      </w:r>
    </w:p>
    <w:p w14:paraId="3F3732B1" w14:textId="5F0E715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Przeprowadzić autoryzowane warsztaty dla administratorów Zamawiającego z zakresu instalacji, konfiguracji i zarządzania oprogramowaniem równoważnym, umożliwiających pełne poznanie produktu równoważnego, Wykonawca w terminie 5 dni od dnia zawarcia Umowy przedstawi do zatwierdzenia Zamawiającemu harmonogram warsztatów, Wykonawca w ramach warsztatów zapewni salę szkoleniową. Czas trwania każdego z warsztatów nie może być krótszy niż 5 (pięć) dni roboczych w następujących po sobie dniach roboczych.</w:t>
      </w:r>
    </w:p>
    <w:p w14:paraId="4D281AAA" w14:textId="31B0D1D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Zainstalować oprogramowanie równoważne w środowisku systemowo-programowym Zamawiającego w terminie do 5 dni roboczych od dnia zakończenia warsztatów z pkt II. 1.</w:t>
      </w:r>
    </w:p>
    <w:p w14:paraId="67B3FFDF" w14:textId="061D5A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Dostarczyć wszelkich dodatkowych licencji - niezbędnych do prawidłowego funkcjonowania oprogramowania równoważnego.</w:t>
      </w:r>
    </w:p>
    <w:p w14:paraId="0C9B99A0" w14:textId="1B82329F" w:rsidR="699C8EA7" w:rsidRDefault="699C8EA7" w:rsidP="24CA07DD">
      <w:pPr>
        <w:spacing w:line="257" w:lineRule="auto"/>
        <w:ind w:left="705" w:hanging="705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III.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Opis wymaganych minimalnych funkcjonalności w przypadku zaoferowania oprogramowania równoważnego</w:t>
      </w:r>
    </w:p>
    <w:p w14:paraId="17BCDA2A" w14:textId="4AA087F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 xml:space="preserve">Funkcjonalność oprogramowania równoważnego do systemu operacyjnego Windows 10 </w:t>
      </w:r>
    </w:p>
    <w:p w14:paraId="2B9EF1D3" w14:textId="3235FE7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  <w:u w:val="single"/>
        </w:rPr>
        <w:t>Professional/Enterprise:</w:t>
      </w:r>
    </w:p>
    <w:p w14:paraId="02B6387D" w14:textId="3844CDE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Interfejs graficzny użytkownika pozwalający na obsługę:</w:t>
      </w:r>
    </w:p>
    <w:p w14:paraId="01CD69FF" w14:textId="2FF9EC5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Klasyczną przy pomocy klawiatury i myszy.</w:t>
      </w:r>
    </w:p>
    <w:p w14:paraId="011CF733" w14:textId="298AFC6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Dotykową umożliwiającą sterowanie dotykiem na urządzeniach typu tablet lub monitorach dotykowych.</w:t>
      </w:r>
    </w:p>
    <w:p w14:paraId="35DCDF21" w14:textId="7D73C4C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Interfejsy użytkownika dostępne w wielu językach do wyboru w czasie instalacji – w tym polskim i angielskim.</w:t>
      </w:r>
    </w:p>
    <w:p w14:paraId="6509640C" w14:textId="4425F8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3. Zlokalizowane w języku polskim, co najmniej następujące elementy: menu, odtwarzacz multimediów, klient poczty elektronicznej z kalendarzem spotkań, pomoc, komunikaty systemowe. </w:t>
      </w:r>
    </w:p>
    <w:p w14:paraId="70F94B96" w14:textId="66B3BE7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Wbudowany mechanizm pobierania map wektorowych z możliwością wykorzystania go przez zainstalowane w systemie aplikacje.</w:t>
      </w:r>
    </w:p>
    <w:p w14:paraId="428492D1" w14:textId="43DA812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Wbudowany system pomocy w języku polskim.</w:t>
      </w:r>
    </w:p>
    <w:p w14:paraId="60D9B6CE" w14:textId="1D1777E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6. Graficzne środowisko instalacji i konfiguracji dostępne w języku polskim.</w:t>
      </w:r>
    </w:p>
    <w:p w14:paraId="343CF6D9" w14:textId="4183EA7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7. Funkcje związane z obsługą komputerów typu tablet, z wbudowanym modułem „uczenia się” pisma użytkownika – obsługa języka polskiego.</w:t>
      </w:r>
    </w:p>
    <w:p w14:paraId="795BA080" w14:textId="4B6E6EC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8. Funkcjonalność rozpoznawania mowy, pozwalającą na sterowanie komputerem głosowo, wraz z modułem „uczenia się” głosu użytkownika.</w:t>
      </w:r>
    </w:p>
    <w:p w14:paraId="04C11FDC" w14:textId="0AC2047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9. Możliwość dokonywania bezpłatnych aktualizacji i poprawek w ramach wersji systemu operacyjnego poprzez Internet, mechanizmem udostępnianym przez producenta z mechanizmem sprawdzającym, które z poprawek są potrzebne.</w:t>
      </w:r>
    </w:p>
    <w:p w14:paraId="259A26A0" w14:textId="0E9C2AA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10. Możliwość dokonywania aktualizacji i poprawek systemu poprzez mechanizm zarządzany przez administratora systemu Zamawiającego.</w:t>
      </w:r>
    </w:p>
    <w:p w14:paraId="3284D2C7" w14:textId="0CE9F1C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11. Dostępność bezpłatnych biuletynów bezpieczeństwa związanych z działaniem systemu operacyjnego.</w:t>
      </w:r>
    </w:p>
    <w:p w14:paraId="6ADB9717" w14:textId="760CB86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12. Wbudowana zapora internetowa (firewall) dla ochrony połączeń internetowych; zintegrowana z systemem konsola do zarządzania ustawieniami zapory i regułami IP v4 i v6. </w:t>
      </w:r>
    </w:p>
    <w:p w14:paraId="2E9F0726" w14:textId="1247429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13. Wbudowane mechanizmy ochrony antywirusowej i przeciw złośliwemu oprogramowaniu z zapewnionymi bezpłatnymi aktualizacjami.</w:t>
      </w:r>
    </w:p>
    <w:p w14:paraId="2402FAC5" w14:textId="2E35340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14. Wsparcie dla większości powszechnie używanych urządzeń peryferyjnych (drukarek, urządzeń sieciowych, standardów USB,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Plug&amp;Play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, Wi-Fi).</w:t>
      </w:r>
    </w:p>
    <w:p w14:paraId="22135DBA" w14:textId="57B3AAF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15. Funkcjonalność automatycznej zmiany domyślnej drukarki w zależności od sieci, do której podłączony jest komputer.</w:t>
      </w:r>
    </w:p>
    <w:p w14:paraId="60A78BA4" w14:textId="1D017E7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16. Możliwość zarządzania stacją roboczą poprzez polityki grupowe – przez politykę rozumiemy zestaw reguł definiujących lub ograniczających funkcjonalność systemu lub aplikacji.</w:t>
      </w:r>
    </w:p>
    <w:p w14:paraId="47B014F1" w14:textId="540ED01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17. Rozbudowane, definiowalne polityki bezpieczeństwa – polityki dla systemu operacyjnego i dla wskazanych aplikacji.</w:t>
      </w:r>
    </w:p>
    <w:p w14:paraId="1347486B" w14:textId="1F65681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18. Możliwość zdalnej automatycznej instalacji, konfiguracji, administrowania oraz aktualizowania systemu, zgodnie z określonymi uprawnieniami poprzez polityki grupowe. </w:t>
      </w:r>
    </w:p>
    <w:p w14:paraId="1CD2AD6A" w14:textId="605C506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19. Zabezpieczony hasłem hierarchiczny dostęp do systemu, konta i profile użytkowników zarządzane zdalnie; praca systemu w trybie ochrony kont użytkowników.</w:t>
      </w:r>
    </w:p>
    <w:p w14:paraId="700C3400" w14:textId="54708CA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20. Mechanizm pozwalający użytkownikowi zarejestrowanego w systemie przedsiębiorstwa/instytucji urządzenia na uprawniony dostęp do zasobów tego systemu.</w:t>
      </w:r>
    </w:p>
    <w:p w14:paraId="2B416250" w14:textId="2A51341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21. Zintegrowany z równoważnym systemem operacyjnym moduł wyszukiwania informacji (plików różnego typu, tekstów, metadanych) dostępny z kilku poziomów: poziom menu, poziom otwartego okna systemu operacyjnego; system wyszukiwania oparty na konfigurowalnym przez użytkownika module indeksacji zasobów lokalnych.</w:t>
      </w:r>
    </w:p>
    <w:p w14:paraId="2AFDFF67" w14:textId="0237F9F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22. Zintegrowany z systemem operacyjnym moduł synchronizacji komputera z urządzeniami zewnętrznymi. </w:t>
      </w:r>
    </w:p>
    <w:p w14:paraId="7BDC7E53" w14:textId="5F5895A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23. Obsługa standardu NFC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near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field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communication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).</w:t>
      </w:r>
    </w:p>
    <w:p w14:paraId="08CCDB84" w14:textId="1225C5E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24. Możliwość przystosowania stanowiska dla osób niepełnosprawnych (np. słabo widzących). </w:t>
      </w:r>
    </w:p>
    <w:p w14:paraId="59A7A201" w14:textId="51F4910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25. Wsparcie dla IPSEC oparte na politykach – wdrażanie IPSEC oparte na zestawach reguł definiujących ustawienia zarządzanych w sposób centralny.</w:t>
      </w:r>
    </w:p>
    <w:p w14:paraId="68B991AD" w14:textId="39A1F3A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26. Automatyczne występowanie i używanie (wystawianie) certyfikatów PKI X.509.</w:t>
      </w:r>
    </w:p>
    <w:p w14:paraId="5E42D077" w14:textId="6D71CBA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27. Mechanizmy uwierzytelniania w oparciu o:</w:t>
      </w:r>
    </w:p>
    <w:p w14:paraId="7087A72C" w14:textId="291C63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Login i hasło.</w:t>
      </w:r>
    </w:p>
    <w:p w14:paraId="76449FDD" w14:textId="34FFAA0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b. Karty z certyfikatami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smartcard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).</w:t>
      </w:r>
    </w:p>
    <w:p w14:paraId="54354C50" w14:textId="3E67303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Wirtualne karty (logowanie w oparciu o certyfikat chroniony poprzez moduł TPM).</w:t>
      </w:r>
    </w:p>
    <w:p w14:paraId="27CB1469" w14:textId="1A2EEF4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Wirtualnej tożsamości użytkownika potwierdzanej za pomocą usług katalogowych i konfigurowanej na urządzeniu. Użytkownik loguje się do urządzenia poprzez PIN lub cechy biometryczne, a następnie uruchamiany jest proces uwierzytelnienia wykorzystujący link do certyfikatu lub pary asymetrycznych kluczy generowanych przez moduł TPM. Dostawcy tożsamości wykorzystują klucz publiczny, zarejestrowany w usłudze katalogowej do walidacji użytkownika poprzez jego mapowanie do klucza prywatnego i dostarczenie hasła jednorazowego (OTP) lub inny mechanizm, jak np. telefon do użytkownika z żądaniem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PINu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 Mechanizm musi być ze specyfikacją FIDO.</w:t>
      </w:r>
    </w:p>
    <w:p w14:paraId="5C3393D7" w14:textId="0767A0D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28. Mechanizmy wieloskładnikowego uwierzytelniania.</w:t>
      </w:r>
    </w:p>
    <w:p w14:paraId="7DFF9089" w14:textId="1E89780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29. Wsparcie dla uwierzytelniania na bazie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Kerberos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v. 5.</w:t>
      </w:r>
    </w:p>
    <w:p w14:paraId="6AB22B00" w14:textId="3E029AA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30. Wsparcie do uwierzytelnienia urządzenia na bazie certyfikatu.</w:t>
      </w:r>
    </w:p>
    <w:p w14:paraId="494DAACE" w14:textId="52DA3E2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31. Wsparcie dla algorytmów Suite B (RFC 4869).</w:t>
      </w:r>
    </w:p>
    <w:p w14:paraId="35BEF7C4" w14:textId="4642D78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32. Mechanizm ograniczający możliwość uruchamiania aplikacji tylko do podpisanych cyfrowo (zaufanych) aplikacji zgodnie z politykami określonymi w organizacji.</w:t>
      </w:r>
    </w:p>
    <w:p w14:paraId="6222A08C" w14:textId="573E83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33. Funkcjonalność tworzenia list zabronionych lub dopuszczonych do uruchamiania aplikacji, możliwość zarządzania listami centralnie za pomocą polityk. Możliwość blokowania aplikacji w zależności od wydawcy, nazwy produktu, nazwy pliku wykonywalnego, wersji pliku.</w:t>
      </w:r>
    </w:p>
    <w:p w14:paraId="0CFD4E8A" w14:textId="20B3ED5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34. Izolacja mechanizmów bezpieczeństwa w dedykowanym środowisku wirtualnym.</w:t>
      </w:r>
    </w:p>
    <w:p w14:paraId="11D33A92" w14:textId="013413C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35. Mechanizm automatyzacji dołączania do domeny i odłączania się od domeny.</w:t>
      </w:r>
    </w:p>
    <w:p w14:paraId="2BABD8BD" w14:textId="703A71A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36. Możliwość zarządzania narzędziami zgodnymi ze specyfikacją Open Mobile Alliance (OMA) Device Management (DM)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protocol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2.0.</w:t>
      </w:r>
    </w:p>
    <w:p w14:paraId="2AEEDF3E" w14:textId="5C4990C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37. Możliwość selektywnego usuwania konfiguracji oraz danych określonych jako dane organizacji.</w:t>
      </w:r>
    </w:p>
    <w:p w14:paraId="029D751C" w14:textId="37713F0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38. Możliwość konfiguracji trybu „kioskowego” dającego dostęp tylko do wybranych aplikacji i funkcji systemu.</w:t>
      </w:r>
    </w:p>
    <w:p w14:paraId="74403377" w14:textId="00DB294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39. Wsparcie wbudowanej zapory ogniowej dla Internet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Key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Exchange v. 2 (IKEv2) dla warstwy transportowej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IPsec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. </w:t>
      </w:r>
    </w:p>
    <w:p w14:paraId="11FCAE16" w14:textId="4B4780C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40. Wbudowane narzędzia służące do administracji, do wykonywania kopii zapasowych polityk i ich odtwarzania oraz generowania raportów z ustawień polityk.</w:t>
      </w:r>
    </w:p>
    <w:p w14:paraId="2EE332DC" w14:textId="24B049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41. Wsparcie dla środowisk Java i .NET Framework 4.x – możliwość uruchomienia aplikacji działających we wskazanych środowiskach.</w:t>
      </w:r>
    </w:p>
    <w:p w14:paraId="4F0DB252" w14:textId="0AE17D5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42. Wsparcie dla JScript i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VBScript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– możliwość uruchamiania interpretera poleceń.</w:t>
      </w:r>
    </w:p>
    <w:p w14:paraId="1A4B5A74" w14:textId="2799C56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43. Zdalna pomoc i współdzielenie aplikacji – możliwość zdalnego przejęcia sesji zalogowanego użytkownika celem rozwiązania problemu z komputerem.</w:t>
      </w:r>
    </w:p>
    <w:p w14:paraId="68F60F1D" w14:textId="1903265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44. Mechanizm pozwalający na dostosowanie konfiguracji systemu dla wielu użytkowników w organizacji bez konieczności tworzenia obrazu instalacyjnego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provisioning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).</w:t>
      </w:r>
    </w:p>
    <w:p w14:paraId="3FCC81E1" w14:textId="3244A6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45. Rozwiązanie służące do automatycznego zbudowania obrazu systemu wraz z aplikacjami. Obraz systemu służyć ma do automatycznego upowszechnienia systemu operacyjnego inicjowanego i wykonywanego w całości poprzez sieć komputerową.</w:t>
      </w:r>
    </w:p>
    <w:p w14:paraId="1FE0D6E0" w14:textId="598FBFE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46. Rozwiązanie umożliwiające wdrożenie nowego obrazu poprzez zdalną instalację.</w:t>
      </w:r>
    </w:p>
    <w:p w14:paraId="3D1620C3" w14:textId="0099C60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47. Transakcyjny system plików pozwalający na stosowanie przydziałów (ang.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quota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 na dysku dla użytkowników oraz zapewniający większą niezawodność i pozwalający tworzyć kopie zapasowe.</w:t>
      </w:r>
    </w:p>
    <w:p w14:paraId="35C8BA48" w14:textId="5D657CC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48. Zarządzanie kontami użytkowników sieci oraz urządzeniami sieciowymi tj. drukarki, modemy, woluminy dyskowe, usługi katalogowe.</w:t>
      </w:r>
    </w:p>
    <w:p w14:paraId="0E8EB2A6" w14:textId="69D9044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49. Oprogramowanie dla tworzenia kopii zapasowych (Backup); automatyczne wykonywanie kopii plików z możliwością automatycznego przywrócenia wersji wcześniejszej.</w:t>
      </w:r>
    </w:p>
    <w:p w14:paraId="4F6FE9D8" w14:textId="00A2938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50. Możliwość przywracania obrazu plików systemowych do uprzednio zapisanej postaci.</w:t>
      </w:r>
    </w:p>
    <w:p w14:paraId="7CA45466" w14:textId="6298F9D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51. 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450EB500" w14:textId="084DBB3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52. Możliwość blokowania lub dopuszczania dowolnych urządzeń peryferyjnych za pomocą polityk grupowych (np. przy użyciu numerów identyfikacyjnych sprzętu).</w:t>
      </w:r>
    </w:p>
    <w:p w14:paraId="334395BB" w14:textId="71FB912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53. Wbudowany mechanizm wirtualizacji typu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hypervisor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, umożliwiający, zgodnie z uprawnieniami licencyjnymi, uruchomienie do 4 maszyn wirtualnych.</w:t>
      </w:r>
    </w:p>
    <w:p w14:paraId="1BD7896E" w14:textId="1932193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54. Mechanizm szyfrowania dysków wewnętrznych i zewnętrznych z możliwością szyfrowania ograniczonego do danych użytkownika.</w:t>
      </w:r>
    </w:p>
    <w:p w14:paraId="79C43740" w14:textId="6F18D9A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55. Wbudowane w równoważnym systemie operacyjnym narzędzie do szyfrowania partycji systemowych komputera, z możliwością przechowywania certyfikatów w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mikrochipie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TPM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Trusted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Platform Module) w wersji minimum 1.2 lub na kluczach pamięci przenośnej USB.</w:t>
      </w:r>
    </w:p>
    <w:p w14:paraId="4FAA8E21" w14:textId="3923460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56. Wbudowane w równoważny system operacyjny narzędzie do szyfrowania dysków przenośnych, z możliwością centralnego zarządzania poprzez polityki grupowe, pozwalające na wymuszenie szyfrowania dysków przenośnych.</w:t>
      </w:r>
    </w:p>
    <w:p w14:paraId="023DD931" w14:textId="2FB09B0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57. Możliwość tworzenia i przechowywania kopii zapasowych kluczy odzyskiwania do szyfrowania partycji w usługach katalogowych.</w:t>
      </w:r>
    </w:p>
    <w:p w14:paraId="1A5C5553" w14:textId="1ED818B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58. Możliwość instalowania dodatkowych języków interfejsu systemu operacyjnego oraz możliwość zmiany języka bez konieczności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reinstalacji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systemu.</w:t>
      </w:r>
    </w:p>
    <w:p w14:paraId="66AEFB83" w14:textId="289C9A8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59. Mechanizm instalacji i uruchamiania równoważnego systemu operacyjnego z pamięci zewnętrznej (USB).</w:t>
      </w:r>
    </w:p>
    <w:p w14:paraId="2549B2C2" w14:textId="75773EB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60. Funkcjonalność pozwalająca we współpracy z serwerem firmowym na bezpieczny dostęp zarządzanych komputerów przenośnych znajdujących się na zewnątrz sieci firmowej do zasobów wewnętrznych firmy. Dostęp musi być realizowany w sposób transparentny dla użytkownika końcowego, bez konieczności stosowania dodatkowego rozwiązania VPN. Funkcjonalność musi być realizowana przez system operacyjny na stacji klienckiej ze wsparciem odpowiedniego serwera, transmisja musi być zabezpieczona z wykorzystaniem IPSEC.</w:t>
      </w:r>
    </w:p>
    <w:p w14:paraId="2AEC2610" w14:textId="3A55B58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 xml:space="preserve">61. Funkcjonalność pozwalająca we współpracy z serwerem firmowym na automatyczne tworzenie w oddziałach zdalnych kopii (ang.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caching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 najczęściej używanych plików znajdujących się na serwerach w lokalizacji centralnej. Funkcjonalność musi być realizowana przez system operacyjny na stacji klienckiej ze wsparciem odpowiedniego serwera i obsługiwać pliki przekazywane z użyciem protokołów HTTP i SMB.</w:t>
      </w:r>
    </w:p>
    <w:p w14:paraId="1BB2E05F" w14:textId="371433F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62. Mechanizm umożliwiający wykonywanie działań administratorskich w zakresie polityk zarządzania komputerami PC na kopiach tychże polityk. </w:t>
      </w:r>
    </w:p>
    <w:p w14:paraId="2962B5B1" w14:textId="437C62A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63. Funkcjonalność pozwalająca na przydzielenie poszczególnym użytkownikom, w zależności od przydzielonych uprawnień praw: przeglądania, otwierania, edytowania, tworzenia, usuwania, aplikowania polityk zarządzania komputerami PC.</w:t>
      </w:r>
    </w:p>
    <w:p w14:paraId="36AB9CC2" w14:textId="151244F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64. Funkcjonalność pozwalająca na tworzenie raportów pokazujących różnice pomiędzy wersjami polityk zarządzania komputerami PC, oraz pomiędzy dwoma różnymi politykami. </w:t>
      </w:r>
    </w:p>
    <w:p w14:paraId="1C195EB9" w14:textId="2DCB9B8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65. Mechanizm skanowania dysków twardych pod względem występowania niechcianego, niebezpiecznego oprogramowania, wirusów w momencie braku możliwości uruchomienia systemu operacyjnego zainstalowanego na komputerze PC.</w:t>
      </w:r>
    </w:p>
    <w:p w14:paraId="140E9BBE" w14:textId="2ED7D23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66. Mechanizm umożliwiający na odzyskanie skasowanych danych z dysków twardych komputerów.</w:t>
      </w:r>
    </w:p>
    <w:p w14:paraId="01AC05B0" w14:textId="7415505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67. Mechanizm umożliwiający na wyczyszczenie dysków twardych zgodnie z dyrektywą US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Department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of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Defense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DoD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) 5220.22-M. </w:t>
      </w:r>
    </w:p>
    <w:p w14:paraId="20BA798C" w14:textId="2E1BC14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68. Mechanizm umożliwiający na naprawę kluczowych plików systemowych systemu operacyjnego w momencie braku możliwości jego uruchomienia. </w:t>
      </w:r>
    </w:p>
    <w:p w14:paraId="3BE1461B" w14:textId="36487FC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69. Funkcjonalność umożliwiająca edytowanie kluczowych elementów systemu operacyjnego w momencie braku możliwości jego uruchomienia.</w:t>
      </w:r>
    </w:p>
    <w:p w14:paraId="37B9EF6D" w14:textId="3C74C7B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70. Mechanizm przesyłania aplikacji w paczkach (wirtualizacji aplikacji), bez jej instalowania na stacji roboczej użytkownika, do lokalnie zlokalizowanego pliku „cache”. </w:t>
      </w:r>
    </w:p>
    <w:p w14:paraId="0A766624" w14:textId="55DE00E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71. Mechanizm przesyłania aplikacji na stację roboczą użytkownika oparty na rozwiązaniu klient – serwer, z wbudowanym rozwiązaniem do zarządzania aplikacjami umożliwiającym przydzielanie, aktualizację, konfigurację ustawień, kontrolę dostępu użytkowników do aplikacji z uwzględnieniem polityki licencjonowania specyficznej dla zarządzanych aplikacji.</w:t>
      </w:r>
    </w:p>
    <w:p w14:paraId="6BB82FE4" w14:textId="1DF074C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72. Mechanizm umożliwiający równoczesne uruchomienie na komputerze PC dwóch lub więcej aplikacji mogących powodować pomiędzy sobą problemy z kompatybilnością.</w:t>
      </w:r>
    </w:p>
    <w:p w14:paraId="07FB6ACD" w14:textId="19706C9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73. Mechanizm umożliwiający równoczesne uruchomienie wielu różnych wersji tej samej aplikacji.</w:t>
      </w:r>
    </w:p>
    <w:p w14:paraId="2C354EC4" w14:textId="53A1EA0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74. Funkcjonalność pozwalająca na dostarczanie aplikacji bez przerywania pracy użytkownikom końcowym stacji roboczej.</w:t>
      </w:r>
    </w:p>
    <w:p w14:paraId="557E9ADC" w14:textId="0793F0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75. Funkcjonalność umożliwiająca na zaktualizowanie systemu bez potrzeby aktualizacji lub przebudowywania paczek aplikacji. </w:t>
      </w:r>
    </w:p>
    <w:p w14:paraId="730C66E9" w14:textId="6464054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76. Funkcjonalność pozwalająca wykorzystywać wspólne komponenty wirtualnych aplikacji.</w:t>
      </w:r>
    </w:p>
    <w:p w14:paraId="4F4D45AA" w14:textId="1EF5E19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77. Funkcjonalność pozwalająca konfigurować skojarzenia plików z aplikacjami dostarczonymi przez mechanizm przesyłania aplikacji na stację roboczą użytkownika.</w:t>
      </w:r>
    </w:p>
    <w:p w14:paraId="5EB66469" w14:textId="2B9099F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78. Funkcjonalność umożliwiająca kontrolę i dostarczanie aplikacji w oparciu o grupy bezpieczeństwa zdefiniowane w centralnym systemie katalogowym.</w:t>
      </w:r>
    </w:p>
    <w:p w14:paraId="7C35D822" w14:textId="75D2011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79. Mechanizm przesyłania aplikacji za pomocą protokołów RTSP, RTSPS, HTTP, HTTPS, SMB. </w:t>
      </w:r>
    </w:p>
    <w:p w14:paraId="0166E308" w14:textId="024BC0D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80. Funkcjonalność umożliwiająca dostarczanie aplikacji poprzez sieć Internet.</w:t>
      </w:r>
    </w:p>
    <w:p w14:paraId="0E0325C9" w14:textId="591FEEB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81. Funkcjonalność synchronizacji ustawień aplikacji pomiędzy wieloma komputerami.</w:t>
      </w:r>
    </w:p>
    <w:p w14:paraId="4A4517FF" w14:textId="3F0E4A1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2.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równoważnego do pakietu biurowego Microsoft Office 365:</w:t>
      </w:r>
    </w:p>
    <w:p w14:paraId="7B72815E" w14:textId="27CECEEE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Pakiet biurowy musi spełniać następujące wymagania poprzez wbudowane mechanizmy, bez użycia dodatkowych aplikacji:</w:t>
      </w:r>
    </w:p>
    <w:p w14:paraId="17B548C0" w14:textId="2B855D4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Dostępność pakietu w wersjach 32-bit oraz 64-bit umożliwiającej wykorzystanie ponad 2 GB przestrzeni adresowej.</w:t>
      </w:r>
    </w:p>
    <w:p w14:paraId="2430CB7B" w14:textId="176B8490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Wymagania odnośnie interfejsu użytkownika:</w:t>
      </w:r>
    </w:p>
    <w:p w14:paraId="067273FB" w14:textId="54413B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Pełna polska wersja językowa interfejsu użytkownika z możliwością przełączania wersji językowej interfejsu na inne języki, w tym język angielski.</w:t>
      </w:r>
    </w:p>
    <w:p w14:paraId="7F8D25F6" w14:textId="3D3EF4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Prostota i intuicyjność obsługi, pozwalająca na pracę osobom nieposiadającym umiejętności technicznych.</w:t>
      </w:r>
    </w:p>
    <w:p w14:paraId="30C7812B" w14:textId="5E2A9D8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Możliwość zintegrowania uwierzytelniania użytkowników z usługą katalogową (Active Directory lub funkcjonalnie równoważną) – użytkownik raz zalogowany z poziomu system operacyjnego stacji roboczej ma być automatycznie rozpoznawany we wszystkich modułach oferowanego rozwiązania bez potrzeby oddzielnego monitowania go o ponowne uwierzytelnienie się.</w:t>
      </w:r>
    </w:p>
    <w:p w14:paraId="4378FFBC" w14:textId="1595C7A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Możliwość aktywacji zainstalowanego pakietu poprzez mechanizmy wdrożonej usługi katalogowej Active Directory.</w:t>
      </w:r>
    </w:p>
    <w:p w14:paraId="3ED1AA40" w14:textId="446AE80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Narzędzie wspomagające procesy migracji z poprzednich wersji pakietu i badania zgodności z dokumentami wytworzonymi w pakietach biurowych.</w:t>
      </w:r>
    </w:p>
    <w:p w14:paraId="29FE3EE9" w14:textId="4231277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Oprogramowanie musi umożliwiać tworzenie i edycję dokumentów elektronicznych w ustalonym standardzie, który spełnia następujące warunki:</w:t>
      </w:r>
    </w:p>
    <w:p w14:paraId="2DC766B1" w14:textId="22C64EF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Posiada kompletny i publicznie dostępny opis formatu.</w:t>
      </w:r>
    </w:p>
    <w:p w14:paraId="6BDE578C" w14:textId="2DFE94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Ma zdefiniowany układ informacji w postaci XML zgodnie z Załącznikiem 2 Rozporządzenia Rady Ministrów z dnia 12 kwietnia 2012 r. w sprawie Krajowych Ram Interoperacyjności, minimalnych wymagań dla rejestrów publicznych i wymiany informacji w postaci elektronicznej oraz minimalnych wymagań dla systemów teleinformatycznych (Dz.U. 2012, poz. 526).</w:t>
      </w:r>
    </w:p>
    <w:p w14:paraId="0E21956F" w14:textId="099E5F1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Umożliwia kreowanie plików w formacie XML.</w:t>
      </w:r>
    </w:p>
    <w:p w14:paraId="63D916C0" w14:textId="3AB5301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Wspiera w swojej specyfikacji podpis elektroniczny w formacie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XAdES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</w:t>
      </w:r>
    </w:p>
    <w:p w14:paraId="05AE435B" w14:textId="0BB6AE5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6. Oprogramowanie musi umożliwiać dostosowanie dokumentów i szablonów do potrzeb instytucji. </w:t>
      </w:r>
    </w:p>
    <w:p w14:paraId="4A19DCD5" w14:textId="5773A55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7. Oprogramowanie musi umożliwiać opatrywanie dokumentów metadanymi.</w:t>
      </w:r>
    </w:p>
    <w:p w14:paraId="58579EF9" w14:textId="533E79D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8. W skład oprogramowania muszą wchodzić narzędzia programistyczne umożliwiające automatyzację pracy i wymianę danych pomiędzy dokumentami i aplikacjami (język makropoleceń, język skryptowy).</w:t>
      </w:r>
    </w:p>
    <w:p w14:paraId="62FD8CE6" w14:textId="656B57C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9. Do aplikacji musi być dostępna pełna dokumentacja w języku polskim.</w:t>
      </w:r>
    </w:p>
    <w:p w14:paraId="5539DA23" w14:textId="2FE039C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10. Pakiet zintegrowanych aplikacji biurowych musi zawierać:</w:t>
      </w:r>
    </w:p>
    <w:p w14:paraId="3D6644C5" w14:textId="15EF6B1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a. Edytor tekstów. </w:t>
      </w:r>
    </w:p>
    <w:p w14:paraId="5F55E41D" w14:textId="59B807C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b. Arkusz kalkulacyjny. </w:t>
      </w:r>
    </w:p>
    <w:p w14:paraId="18A7A738" w14:textId="4AF290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Narzędzie do przygotowywania i prowadzenia prezentacji.</w:t>
      </w:r>
    </w:p>
    <w:p w14:paraId="109DC1A7" w14:textId="0A5988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Narzędzie do tworzenia drukowanych materiałów informacyjnych.</w:t>
      </w:r>
    </w:p>
    <w:p w14:paraId="07D83B4D" w14:textId="50518BE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Narzędzie do tworzenia i pracy z lokalną bazą danych.</w:t>
      </w:r>
    </w:p>
    <w:p w14:paraId="374AA5FC" w14:textId="4C29DE2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Narzędzie do zarządzania informacją prywatą (pocztą elektroniczną, kalendarzem, kontaktami i zadaniami).</w:t>
      </w:r>
    </w:p>
    <w:p w14:paraId="5EDAE44A" w14:textId="62C1A8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Narzędzie do tworzenia notatek przy pomocy klawiatury lub notatek odręcznych na ekranie urządzenia typu tablet PC z mechanizmem OCR.</w:t>
      </w:r>
    </w:p>
    <w:p w14:paraId="6F2853C8" w14:textId="69319C6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Narzędzie komunikacji wielokanałowej stanowiące interfejs do systemu wiadomości błyskawicznych (tekstowych), komunikacji głosowej, komunikacji video.</w:t>
      </w:r>
    </w:p>
    <w:p w14:paraId="0D044F85" w14:textId="5D76AE8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11. Edytor tekstów musi umożliwiać.</w:t>
      </w:r>
    </w:p>
    <w:p w14:paraId="709EF82A" w14:textId="11BDBA5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Edycję i formatowanie tekstu w języku polskim wraz z obsługą języka polskiego w zakresie sprawdzania pisowni i poprawności gramatycznej oraz funkcjonalnością słownika wyrazów bliskoznacznych i autokorekty.</w:t>
      </w:r>
    </w:p>
    <w:p w14:paraId="6AF1EC86" w14:textId="2E41EF5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Edycję i formatowanie tekstu w języku angielskim wraz z obsługą języka angielskiego w zakresie sprawdzania pisowni i poprawności gramatycznej oraz funkcjonalnością słownika wyrazów bliskoznacznych i autokorekty.</w:t>
      </w:r>
    </w:p>
    <w:p w14:paraId="0663719B" w14:textId="5D3F6FB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Wstawianie oraz formatowanie tabel.</w:t>
      </w:r>
    </w:p>
    <w:p w14:paraId="1BB49496" w14:textId="4D23360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Wstawianie oraz formatowanie obiektów graficznych.</w:t>
      </w:r>
    </w:p>
    <w:p w14:paraId="2E555174" w14:textId="1EF579F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Wstawianie wykresów i tabel z arkusza kalkulacyjnego (wliczając tabele przestawne).</w:t>
      </w:r>
    </w:p>
    <w:p w14:paraId="0723576D" w14:textId="18D2C86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Automatyczne numerowanie rozdziałów, punktów, akapitów, tabel i rysunków.</w:t>
      </w:r>
    </w:p>
    <w:p w14:paraId="4FF5B194" w14:textId="7722CD0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Automatyczne tworzenie spisów treści.</w:t>
      </w:r>
    </w:p>
    <w:p w14:paraId="6078DB55" w14:textId="19B9F1F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Formatowanie nagłówków i stopek stron.</w:t>
      </w:r>
    </w:p>
    <w:p w14:paraId="33FDB3A0" w14:textId="29A4CC5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Śledzenie i porównywanie zmian wprowadzonych przez użytkowników w dokumencie.</w:t>
      </w:r>
    </w:p>
    <w:p w14:paraId="1BEEA8E7" w14:textId="1BA8D9C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Zapamiętywanie i wskazywanie miejsca, w którym zakończona była edycja dokumentu przed jego uprzednim zamknięciem.</w:t>
      </w:r>
    </w:p>
    <w:p w14:paraId="07AD0A24" w14:textId="1AF1441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Nagrywanie, tworzenie i edycję makr automatyzujących wykonywanie czynności.</w:t>
      </w:r>
    </w:p>
    <w:p w14:paraId="6BA3487C" w14:textId="1936F2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l. Określenie układu strony (pionowa/pozioma).</w:t>
      </w:r>
    </w:p>
    <w:p w14:paraId="53C551B4" w14:textId="6F96DD8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Wydruk dokumentów.</w:t>
      </w:r>
    </w:p>
    <w:p w14:paraId="10AAD826" w14:textId="2C33FC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n. Wykonywanie korespondencji seryjnej bazując na danych adresowych pochodzących z arkusza kalkulacyjnego i z narzędzia do zarządzania informacją prywatną.</w:t>
      </w:r>
    </w:p>
    <w:p w14:paraId="6D600C2E" w14:textId="7984EDF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o. Pracę na dokumentach utworzonych przy pomocy Microsoft Word 2007, Microsoft Word 2010 i 2013 z zapewnieniem bezproblemowej konwersji wszystkich elementów i atrybutów dokumentu.</w:t>
      </w:r>
    </w:p>
    <w:p w14:paraId="4385372C" w14:textId="7898206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p. Zapis i edycję plików w formacie PDF.</w:t>
      </w:r>
    </w:p>
    <w:p w14:paraId="25CFC42D" w14:textId="189712B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q. Zabezpieczenie dokumentów hasłem przed odczytem oraz przed wprowadzaniem modyfikacji.</w:t>
      </w:r>
    </w:p>
    <w:p w14:paraId="033626CA" w14:textId="6179FD0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r. Możliwość jednoczesnej pracy wielu użytkowników na jednym dokumencie z uwidacznianiem ich uprawnień i wyświetlaniem dokonywanych przez nie zmian na bieżąco.</w:t>
      </w:r>
    </w:p>
    <w:p w14:paraId="0CBF6FEA" w14:textId="4343958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s. Możliwość wyboru jednej z zapisanych wersji dokumentu, nad którym pracuje wiele osób.</w:t>
      </w:r>
    </w:p>
    <w:p w14:paraId="1A433396" w14:textId="1213869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12. Arkusz kalkulacyjny musi umożliwiać:</w:t>
      </w:r>
    </w:p>
    <w:p w14:paraId="230BA773" w14:textId="0CD81ED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Tworzenie raportów tabelarycznych.</w:t>
      </w:r>
    </w:p>
    <w:p w14:paraId="10AA29AF" w14:textId="71C1B05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Tworzenie wykresów liniowych (wraz linią trendu), słupkowych, kołowych.</w:t>
      </w:r>
    </w:p>
    <w:p w14:paraId="231029ED" w14:textId="1440F33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Tworzenie arkuszy kalkulacyjnych zawierających teksty, dane liczbowe oraz formuły przeprowadzające operacje matematyczne, logiczne, tekstowe, statystyczne oraz operacje na danych finansowych i na miarach czasu.</w:t>
      </w:r>
    </w:p>
    <w:p w14:paraId="065936A1" w14:textId="1CDA1A9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Tworzenie raportów z zewnętrznych źródeł danych (inne arkusze kalkulacyjne, bazy danych zgodne z ODBC, pliki tekstowe, pliki XML,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webservice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).</w:t>
      </w:r>
    </w:p>
    <w:p w14:paraId="44477037" w14:textId="35BCF38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Obsługę kostek OLAP oraz tworzenie i edycję kwerend bazodanowych i webowych. Narzędzia wspomagające analizę statystyczną i finansową, analizę wariantową i rozwiązywanie problemów optymalizacyjnych.</w:t>
      </w:r>
    </w:p>
    <w:p w14:paraId="1BA204EB" w14:textId="19CE4A9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Tworzenie raportów tabeli przestawnych umożliwiających dynamiczną zmianę wymiarów oraz wykresów bazujących na danych z tabeli przestawnych.</w:t>
      </w:r>
    </w:p>
    <w:p w14:paraId="68E42CAA" w14:textId="41A47A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Wyszukiwanie i zamianę danych.</w:t>
      </w:r>
    </w:p>
    <w:p w14:paraId="275DF718" w14:textId="48C3BC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Wykonywanie analiz danych przy użyciu formatowania warunkowego.</w:t>
      </w:r>
    </w:p>
    <w:p w14:paraId="50C20A49" w14:textId="13062F9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Tworzenie wykresów prognoz i trendów na podstawie danych historycznych z użyciem algorytmu ETS.</w:t>
      </w:r>
    </w:p>
    <w:p w14:paraId="0832FF6D" w14:textId="49EEC7B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Nazywanie komórek arkusza i odwoływanie się w formułach po takiej nazwie.</w:t>
      </w:r>
    </w:p>
    <w:p w14:paraId="79560DF5" w14:textId="456385C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Nagrywanie, tworzenie i edycję makr automatyzujących wykonywanie czynności.</w:t>
      </w:r>
    </w:p>
    <w:p w14:paraId="760EDDFE" w14:textId="6EBF716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l. Formatowanie czasu, daty i wartości finansowych z polskim formatem.</w:t>
      </w:r>
    </w:p>
    <w:p w14:paraId="4EBCC79A" w14:textId="1ED40BE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Zapis wielu arkuszy kalkulacyjnych w jednym pliku.</w:t>
      </w:r>
    </w:p>
    <w:p w14:paraId="354C4F29" w14:textId="4C9EB4C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n. Inteligentne uzupełnianie komórek w kolumnie według rozpoznanych wzorców, wraz z ich możliwością poprawiania poprzez modyfikację proponowanych formuł.</w:t>
      </w:r>
    </w:p>
    <w:p w14:paraId="4F18FE24" w14:textId="4627A2E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o. Możliwość przedstawienia różnych wykresów przed ich finalnym wyborem (tylko po najechaniu znacznikiem myszy na dany rodzaj wykresu).</w:t>
      </w:r>
    </w:p>
    <w:p w14:paraId="473B23A7" w14:textId="015B7E3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p. Zachowanie pełnej zgodności z formatami plików utworzonych za pomocą oprogramowania Microsoft Excel 2007 oraz Microsoft Excel 2010 i 2013, z uwzględnieniem poprawnej realizacji użytych w nich funkcji specjalnych i makropoleceń.</w:t>
      </w:r>
    </w:p>
    <w:p w14:paraId="2D85A4DC" w14:textId="512427C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q. Zabezpieczenie dokumentów hasłem przed odczytem oraz przed wprowadzaniem modyfikacji.</w:t>
      </w:r>
    </w:p>
    <w:p w14:paraId="23F4CF6E" w14:textId="2B16255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13. Narzędzie do przygotowywania i prowadzenia prezentacji musi umożliwiać:</w:t>
      </w:r>
    </w:p>
    <w:p w14:paraId="680D6921" w14:textId="134C7E8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Przygotowywanie prezentacji multimedialnych, które będą:</w:t>
      </w:r>
    </w:p>
    <w:p w14:paraId="6929C6C5" w14:textId="71AA0CF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Prezentowane przy użyciu projektora multimedialnego.</w:t>
      </w:r>
    </w:p>
    <w:p w14:paraId="03602BB2" w14:textId="1ECF300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Drukowane w formacie umożliwiającym robienie notatek.</w:t>
      </w:r>
    </w:p>
    <w:p w14:paraId="69689773" w14:textId="05FD853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Zapisanie jako prezentacja tylko do odczytu.</w:t>
      </w:r>
    </w:p>
    <w:p w14:paraId="4E57CE55" w14:textId="3BF9F8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Nagrywanie narracji i dołączanie jej do prezentacji.</w:t>
      </w:r>
    </w:p>
    <w:p w14:paraId="7C419281" w14:textId="6046EF8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Opatrywanie slajdów notatkami dla prezentera.</w:t>
      </w:r>
    </w:p>
    <w:p w14:paraId="51A9DED8" w14:textId="6485FC3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Umieszczanie i formatowanie tekstów, obiektów graficznych, tabel, nagrań dźwiękowych i wideo.</w:t>
      </w:r>
    </w:p>
    <w:p w14:paraId="16CD68AC" w14:textId="31CD797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Umieszczanie tabel i wykresów pochodzących z arkusza kalkulacyjnego.</w:t>
      </w:r>
    </w:p>
    <w:p w14:paraId="421E0DD9" w14:textId="10F6BFE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Odświeżenie wykresu znajdującego się w prezentacji po zmianie danych w źródłowym arkuszu kalkulacyjnym.</w:t>
      </w:r>
    </w:p>
    <w:p w14:paraId="21FCF4FD" w14:textId="6D5BEAD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Możliwość tworzenia animacji obiektów i całych slajdów.</w:t>
      </w:r>
    </w:p>
    <w:p w14:paraId="289AD91A" w14:textId="302DF5D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Prowadzenie prezentacji w trybie prezentera, gdzie slajdy są widoczne na jednym monitorze lub projektorze, a na drugim widoczne są slajdy i notatki prezentera, z możliwością podglądu następnego slajdu.</w:t>
      </w:r>
    </w:p>
    <w:p w14:paraId="0A1F9F2D" w14:textId="7818516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Pełna zgodność z formatami plików utworzonych za pomocą oprogramowania MS PowerPoint 2007, MS PowerPoint 2010 i 2013.</w:t>
      </w:r>
    </w:p>
    <w:p w14:paraId="62098CAE" w14:textId="10394B9B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14. Narzędzie do tworzenia drukowanych materiałów informacyjnych musi umożliwiać:</w:t>
      </w:r>
    </w:p>
    <w:p w14:paraId="026D53AE" w14:textId="32BC5ED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Tworzenie i edycję drukowanych materiałów informacyjnych.</w:t>
      </w:r>
    </w:p>
    <w:p w14:paraId="6FFE7D24" w14:textId="481C6E6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Tworzenie materiałów przy użyciu dostępnych z narzędziem szablonów: broszur, biuletynów, katalogów.</w:t>
      </w:r>
    </w:p>
    <w:p w14:paraId="3AF8E006" w14:textId="3469FD6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Edycję poszczególnych stron materiałów.</w:t>
      </w:r>
    </w:p>
    <w:p w14:paraId="3B1CF89D" w14:textId="63DBA7B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Podział treści na kolumny.</w:t>
      </w:r>
    </w:p>
    <w:p w14:paraId="7D8CA0F6" w14:textId="28AE9CF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Umieszczanie elementów graficznych.</w:t>
      </w:r>
    </w:p>
    <w:p w14:paraId="56CCDA06" w14:textId="0807D31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Wykorzystanie mechanizmu korespondencji seryjnej.</w:t>
      </w:r>
    </w:p>
    <w:p w14:paraId="5DF4A7A7" w14:textId="75D90E8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Płynne przesuwanie elementów po całej stronie publikacji.</w:t>
      </w:r>
    </w:p>
    <w:p w14:paraId="668DAFFC" w14:textId="0317339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Eksport publikacji do formatu PDF oraz TIFF.</w:t>
      </w:r>
    </w:p>
    <w:p w14:paraId="498F5AB9" w14:textId="3E83506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Wydruk publikacji.</w:t>
      </w:r>
    </w:p>
    <w:p w14:paraId="12ED52B1" w14:textId="141E1C8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Możliwość przygotowywania materiałów do wydruku w standardzie CMYK.</w:t>
      </w:r>
    </w:p>
    <w:p w14:paraId="7D6338FF" w14:textId="67316489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15. Narzędzie do tworzenia i pracy z lokalną bazą danych musi umożliwiać:</w:t>
      </w:r>
    </w:p>
    <w:p w14:paraId="66E7F0AF" w14:textId="4F6D5AA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Tworzenie bazy danych przez zdefiniowanie:</w:t>
      </w:r>
    </w:p>
    <w:p w14:paraId="78CFF4B7" w14:textId="25E3137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Tabel składających się z unikatowego klucza i pól różnych typów, w tym tekstowych i liczbowych.</w:t>
      </w:r>
    </w:p>
    <w:p w14:paraId="42E7F635" w14:textId="36D6EBE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Relacji pomiędzy tabelami.</w:t>
      </w:r>
    </w:p>
    <w:p w14:paraId="37313555" w14:textId="400FD3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d. Formularzy do wprowadzania i edycji danych.</w:t>
      </w:r>
    </w:p>
    <w:p w14:paraId="70752425" w14:textId="1EE16BE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Raportów.</w:t>
      </w:r>
    </w:p>
    <w:p w14:paraId="3FBAC826" w14:textId="3DA85E8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Edycję danych i zapisywanie ich w lokalnie przechowywanej bazie danych.</w:t>
      </w:r>
    </w:p>
    <w:p w14:paraId="4C3712E1" w14:textId="278F180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Tworzenie bazy danych przy użyciu zdefiniowanych szablonów.</w:t>
      </w:r>
    </w:p>
    <w:p w14:paraId="133D7E4E" w14:textId="2E79AA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Połączenie z danymi zewnętrznymi, a w szczególności z innymi bazami danych zgodnymi z ODBC, plikami XML, arkuszem kalkulacyjnym.</w:t>
      </w:r>
    </w:p>
    <w:p w14:paraId="5EACD144" w14:textId="0DC611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16. Narzędzie do zarządzania informacją prywatną (pocztą elektroniczną, kalendarzem, kontaktami i zadaniami) musi umożliwiać:</w:t>
      </w:r>
    </w:p>
    <w:p w14:paraId="267F8A95" w14:textId="1DABF91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Uwierzytelnianie wieloskładnikowe poprzez wbudowane wsparcie integrujące z usługą Active Directory.</w:t>
      </w:r>
    </w:p>
    <w:p w14:paraId="0DFE60E1" w14:textId="06BF62E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Pobieranie i wysyłanie poczty elektronicznej z serwera pocztowego.</w:t>
      </w:r>
    </w:p>
    <w:p w14:paraId="332F40D1" w14:textId="0771D15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c. Przechowywanie wiadomości na serwerze lub w lokalnym pliku tworzonym z zastosowaniem efektywnej kompresji danych. </w:t>
      </w:r>
    </w:p>
    <w:p w14:paraId="07A74505" w14:textId="5201A3E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Filtrowanie niechcianej poczty elektronicznej (SPAM) oraz określanie listy zablokowanych i bezpiecznych nadawców.</w:t>
      </w:r>
    </w:p>
    <w:p w14:paraId="6989542B" w14:textId="3D43CAC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Tworzenie katalogów, pozwalających katalogować pocztę elektroniczną.</w:t>
      </w:r>
    </w:p>
    <w:p w14:paraId="0ECB1EF3" w14:textId="342BF6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Automatyczne grupowanie poczty o tym samym tytule.</w:t>
      </w:r>
    </w:p>
    <w:p w14:paraId="40B788D2" w14:textId="428A3A7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Tworzenie reguł przenoszących automatycznie nową pocztę elektroniczną do określonych katalogów bazując na słowach zawartych w tytule, adresie nadawcy i odbiorcy.</w:t>
      </w:r>
    </w:p>
    <w:p w14:paraId="602C6174" w14:textId="7B316F7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Oflagowanie poczty elektronicznej z określeniem terminu przypomnienia, oddzielnie dla nadawcy i adresatów.</w:t>
      </w:r>
    </w:p>
    <w:p w14:paraId="12419FF7" w14:textId="188F02F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Mechanizm ustalania liczby wiadomości, które mają być synchronizowane lokalnie.</w:t>
      </w:r>
    </w:p>
    <w:p w14:paraId="1A483CF9" w14:textId="1AD638D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Zarządzanie kalendarzem.</w:t>
      </w:r>
    </w:p>
    <w:p w14:paraId="154DF810" w14:textId="75BE409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Udostępnianie kalendarza innym użytkownikom z możliwością określania uprawnień użytkowników.</w:t>
      </w:r>
    </w:p>
    <w:p w14:paraId="233879C8" w14:textId="0E55533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l. Przeglądanie kalendarza innych użytkowników.</w:t>
      </w:r>
    </w:p>
    <w:p w14:paraId="38677345" w14:textId="0CC568E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Zapraszanie uczestników na spotkanie, co po ich akceptacji powoduje automatyczne wprowadzenie spotkania w ich kalendarzach.</w:t>
      </w:r>
    </w:p>
    <w:p w14:paraId="4D040AF0" w14:textId="11C8C68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n. Zarządzanie listą zadań.</w:t>
      </w:r>
    </w:p>
    <w:p w14:paraId="32BF1A05" w14:textId="68797AE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o. Zlecanie zadań innym użytkownikom.</w:t>
      </w:r>
    </w:p>
    <w:p w14:paraId="72C51CC8" w14:textId="335EE23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p. Zarządzanie listą kontaktów.</w:t>
      </w:r>
    </w:p>
    <w:p w14:paraId="2955C2F9" w14:textId="0AD41A5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q. Udostępnianie listy kontaktów innym użytkownikom.</w:t>
      </w:r>
    </w:p>
    <w:p w14:paraId="00C45A6F" w14:textId="096C9EE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r. Przeglądanie listy kontaktów innych użytkowników.</w:t>
      </w:r>
    </w:p>
    <w:p w14:paraId="2E9FA5DD" w14:textId="7B9F25F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s. Możliwość przesyłania kontaktów innym użytkowników.</w:t>
      </w:r>
    </w:p>
    <w:p w14:paraId="6CF0F6DE" w14:textId="70847FE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t. Możliwość wykorzystania do komunikacji z serwerem pocztowym mechanizmu MAPI poprzez http.</w:t>
      </w:r>
    </w:p>
    <w:p w14:paraId="4869CE45" w14:textId="0F100D6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17. Narzędzie komunikacji wielokanałowej stanowiące interfejs do systemu wiadomości błyskawicznych (tekstowych), komunikacji głosowej, komunikacji video musi spełniać następujące wymagania:</w:t>
      </w:r>
    </w:p>
    <w:p w14:paraId="6650E83D" w14:textId="7360128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Pełna polska wersja językowa interfejsu użytkownika.</w:t>
      </w:r>
    </w:p>
    <w:p w14:paraId="66A3CFCE" w14:textId="5A3EA5B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Prostota i intuicyjność obsługi, pozwalająca na pracę osobom nieposiadającym umiejętności technicznych.</w:t>
      </w:r>
    </w:p>
    <w:p w14:paraId="2190E793" w14:textId="552A115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Dostępność aplikacji na platformie Windows 7 lub wyższych oraz OSX 10 lub wyższych.</w:t>
      </w:r>
    </w:p>
    <w:p w14:paraId="23452E1E" w14:textId="0873EA1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Możliwość zintegrowania uwierzytelniania użytkowników z usługą katalogową (Active Directory lub funkcjonalnie równoważną) – użytkownik raz zalogowany z poziomu systemu operacyjnego stacji roboczej ma być automatycznie rozpoznawany we wszystkich modułach oferowanego rozwiązania bez potrzeby oddzielnego monitowania go o ponowne uwierzytelnienie się.</w:t>
      </w:r>
    </w:p>
    <w:p w14:paraId="3FF3A047" w14:textId="4DEF230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Możliwość obsługi tekstowych wiadomości błyskawicznych w modelu jeden do jeden i jeden do wielu.</w:t>
      </w:r>
    </w:p>
    <w:p w14:paraId="690263A3" w14:textId="202A671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Możliwość komunikacji głosowej i video w modelu jeden do jeden i jeden do wielu.</w:t>
      </w:r>
    </w:p>
    <w:p w14:paraId="1CADAD43" w14:textId="61537F1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Obsługa telekonferencji SKW:</w:t>
      </w:r>
    </w:p>
    <w:p w14:paraId="1F824BFC" w14:textId="527287B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Dołączania do telekonferencji.</w:t>
      </w:r>
    </w:p>
    <w:p w14:paraId="5C22D0E6" w14:textId="02B3D53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Szczegółowej listy uczestników.</w:t>
      </w:r>
    </w:p>
    <w:p w14:paraId="56256F25" w14:textId="42835E3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Wiadomości błyskawicznych w trybach jeden do jeden i jeden do wielu.</w:t>
      </w:r>
    </w:p>
    <w:p w14:paraId="4DAA94C7" w14:textId="4567CF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Udostępniania własnego pulpitu lub aplikacji z możliwością przekazywania zdalnej kontroli.</w:t>
      </w:r>
    </w:p>
    <w:p w14:paraId="60F8B073" w14:textId="18BBF48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Głosowania.</w:t>
      </w:r>
    </w:p>
    <w:p w14:paraId="0190C102" w14:textId="0521DB0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Udostępniania plików i pulpitów.</w:t>
      </w:r>
    </w:p>
    <w:p w14:paraId="226B398B" w14:textId="15B9805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Możliwości nawigowania w prezentacjach i edycji dokumentów udostępnionych przez innych uczestników konferencji.</w:t>
      </w:r>
    </w:p>
    <w:p w14:paraId="5EA757BF" w14:textId="5273B51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h. Możliwość zmiany kanału komunikacji z pośrednictwem wiadomości błyskawicznych do połączenia głosowego i/lub wideo w ramach pojedynczej, otwartej w aplikacji sesji (bez konieczności przełączania się pomiędzy aplikacjami). </w:t>
      </w:r>
    </w:p>
    <w:p w14:paraId="35E5DA03" w14:textId="62D16AC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Lista adresowa wraz ze statusem obecności, opisem użytkowników SKW, zdjęciami użytkowników, listą dostępnych do komunikacji z nimi kanałów komunikacyjnych i możliwością bezpośredniego wybrania kanału komunikacji oraz wydzielania grup kontaktów typu ulubione lub ostatnie.</w:t>
      </w:r>
    </w:p>
    <w:p w14:paraId="7A227184" w14:textId="0BE23E5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Status obecności, dający możliwość ręcznego ustawiania statusu (dostępny, zajęty, nie przeszkadzać, z dala od komputera, niedostępny), automatycznej synchronizacji z jego aktywnością w systemie operacyjnym stacji roboczej, a w przypadku instalacji wybranych systemów poczty elektronicznej – dostępu do informacji o dostępności użytkownika na bazie wpisów do jego kalendarza.</w:t>
      </w:r>
    </w:p>
    <w:p w14:paraId="36C28989" w14:textId="6DC5727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Możliwość rozszerzania listy adresowej o zewnętrznych użytkowników wraz z informacjami opisowymi i kontaktowymi.</w:t>
      </w:r>
    </w:p>
    <w:p w14:paraId="18FD22FC" w14:textId="3CDE0F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l. Historia ostatnich kontaktów, konwersacji, nieodebranych połączeń i powiadomień.</w:t>
      </w:r>
    </w:p>
    <w:p w14:paraId="18488BC5" w14:textId="55BF749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Integracja ze składnikami wybranych pakietów biurowych z kontekstową komunikacją i z funkcjami obecności.</w:t>
      </w:r>
    </w:p>
    <w:p w14:paraId="0300D3FD" w14:textId="5028395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n. Definiowanie i konfiguracja urządzeń wykorzystywanych do komunikacji: mikrofonu, głośników lub słuchawek, kamery czy innych specjalizowanych urządzeń peryferyjnych zgodnych z SKW. </w:t>
      </w:r>
    </w:p>
    <w:p w14:paraId="183D0FC7" w14:textId="345D5BF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o. Sygnalizowanie statusu dostępności innych użytkowników serwera komunikacji wielokanałowej.</w:t>
      </w:r>
    </w:p>
    <w:p w14:paraId="643256D2" w14:textId="41BAC31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p. Możliwość definiowania listy kontaktów lub dołączania jej z listy zawartej w usłudze katalogowej.</w:t>
      </w:r>
    </w:p>
    <w:p w14:paraId="7D48331C" w14:textId="228AAF9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q. Możliwość wyświetlania szczegółowej informacji opisującej innych użytkowników oraz ich dostępność, pobieranej z usługi katalogowej i systemu kalendarzy serwera poczty elektronicznej.</w:t>
      </w:r>
    </w:p>
    <w:p w14:paraId="20FA21F6" w14:textId="0F3D292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równoważnego do portalu on-line do zażądania użytkownikami, licencjami.</w:t>
      </w:r>
    </w:p>
    <w:p w14:paraId="60820448" w14:textId="33B20547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Portal on-line musi realizować następujące funkcje i wymagania poprzez wbudowane mechanizmy:</w:t>
      </w:r>
    </w:p>
    <w:p w14:paraId="39383B3F" w14:textId="77160A3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 Publikację dokumentów, treści i materiałów multimedialnych na witrynach wewnętrznych. </w:t>
      </w:r>
    </w:p>
    <w:p w14:paraId="08193A2F" w14:textId="7D32995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Zarządzanie strukturą portalu i treściami www.</w:t>
      </w:r>
    </w:p>
    <w:p w14:paraId="54263BA8" w14:textId="13D363B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Uczestnictwo użytkowników w forach dyskusyjnych, ocenie materiałów, publikacji własnych treści.</w:t>
      </w:r>
    </w:p>
    <w:p w14:paraId="528CC2B1" w14:textId="2F45DC2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Udostępnianie spersonalizowanych witryn i przestrzeni roboczych dla poszczególnych ról w systemie wraz z określaniem praw dostępu na bazie usługi katalogowej.</w:t>
      </w:r>
    </w:p>
    <w:p w14:paraId="78779655" w14:textId="06053A7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Tworzenie repozytoriów wzorów dokumentów.</w:t>
      </w:r>
    </w:p>
    <w:p w14:paraId="15FB45E6" w14:textId="729DE88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6. Tworzenie repozytoriów dokumentów.</w:t>
      </w:r>
    </w:p>
    <w:p w14:paraId="39965EAC" w14:textId="129627B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7. Wspólną, bezpieczną pracę nad dokumentami.</w:t>
      </w:r>
    </w:p>
    <w:p w14:paraId="78D86BDC" w14:textId="7683270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8. Wersjonowanie dokumentów (dla wersji roboczych).</w:t>
      </w:r>
    </w:p>
    <w:p w14:paraId="6F56466F" w14:textId="51ABC5D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9. Organizację pracy grupowej.</w:t>
      </w:r>
    </w:p>
    <w:p w14:paraId="6AD8A348" w14:textId="669455F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10. Wyszukiwanie treści.</w:t>
      </w:r>
    </w:p>
    <w:p w14:paraId="365F4B26" w14:textId="1C17527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11. Dostęp do danych w relacyjnych bazach danych.</w:t>
      </w:r>
    </w:p>
    <w:p w14:paraId="26EE002C" w14:textId="52C8826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12. Serwery portali muszą udostępniać możliwość zaprojektowania struktury portalu tak, by mogła stanowić zbiór wielu niezależnych portali, które w zależności od nadanych uprawnień mogą być zarządzane niezależnie.</w:t>
      </w:r>
    </w:p>
    <w:p w14:paraId="14DDE6C5" w14:textId="788B0B6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13. Portale muszą udostępniać mechanizmy współpracy między działami/zespołami, udostępnić funkcje zarządzania zawartością, zaimplementować procesy przepływu dokumentów i spraw oraz zapewnić dostęp do informacji niezbędnych do realizacji założonych celów i procesów. Serwery portali muszą posiadać następujące cechy dostępne bezpośrednio jako wbudowane właściwości produktu:</w:t>
      </w:r>
    </w:p>
    <w:p w14:paraId="77EA5ACF" w14:textId="0BEC6F4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Interfejs użytkownika:</w:t>
      </w:r>
    </w:p>
    <w:p w14:paraId="2DB09F57" w14:textId="2F24557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a. Praca z dokumentami typu XML w oparciu schematy XML przechowywane w repozytoriach portalu bezpośrednio z aplikacji w specyfikacji pakietu biurowego (otwieranie/zapisywanie </w:t>
      </w:r>
      <w:r w:rsidRPr="24CA07DD">
        <w:rPr>
          <w:rFonts w:ascii="Calibri" w:eastAsia="Calibri" w:hAnsi="Calibri" w:cs="Calibri"/>
          <w:color w:val="000000" w:themeColor="text1"/>
        </w:rPr>
        <w:lastRenderedPageBreak/>
        <w:t xml:space="preserve">dokumentów, podgląd wersji, mechanizmy ewidencjonowania i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wyewidencjonowania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dokumentów, edycja metryki dokumentu).</w:t>
      </w:r>
    </w:p>
    <w:p w14:paraId="0CCD5F61" w14:textId="43D6024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Wbudowane zasady realizujące wytyczne dotyczące ułatwień w dostępie do publikowanych treści zgodne z WCAG 2.0.</w:t>
      </w:r>
    </w:p>
    <w:p w14:paraId="1FD0CECB" w14:textId="5495ED5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Praca bezpośrednio z aplikacji pakietu biurowego z portalowymi rejestrami informacji typu kalendarze oraz bazy kontaktów.</w:t>
      </w:r>
    </w:p>
    <w:p w14:paraId="092F4A61" w14:textId="18089E3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Tworzenie witryn w ramach portalu bezpośrednio z aplikacji pakietu biurowego.</w:t>
      </w:r>
    </w:p>
    <w:p w14:paraId="31A6E396" w14:textId="12355E6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Umożliwienie uruchomienia prezentacji stron w wersji pełnej oraz w wersji dedykowanej i zoptymalizowanej dla użytkowników urządzeń mobilnych PDA, telefon komórkowy).</w:t>
      </w:r>
    </w:p>
    <w:p w14:paraId="52C47118" w14:textId="008C800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Projektowanie stron</w:t>
      </w:r>
    </w:p>
    <w:p w14:paraId="7AD18062" w14:textId="1FC38F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Wbudowane intuicyjne narzędzia projektowania wyglądu stron.</w:t>
      </w:r>
    </w:p>
    <w:p w14:paraId="517511E7" w14:textId="126A90E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b. Wsparcie dla narzędzi typu Adobe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Dreamweaver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, Microsoft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Expression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Web i edytorów HTML.</w:t>
      </w:r>
    </w:p>
    <w:p w14:paraId="498DCF81" w14:textId="2B64EA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Wsparcie dla ASP.NET, Apache, C#, Java i PHP.</w:t>
      </w:r>
    </w:p>
    <w:p w14:paraId="1B6A50F5" w14:textId="79F3D1C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Możliwość osadzania elementów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iFrame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w polach HTML na stronie.</w:t>
      </w:r>
    </w:p>
    <w:p w14:paraId="1B2A2AF2" w14:textId="4030482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Integracja z pozostałymi modułami rozwiązania oraz innymi systemami:</w:t>
      </w:r>
    </w:p>
    <w:p w14:paraId="30AB5533" w14:textId="5C6871C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Wykorzystanie poczty elektronicznej do rozsyłania przez system wiadomości, powiadomień, alertów do użytkowników portalu w postaci maili.</w:t>
      </w:r>
    </w:p>
    <w:p w14:paraId="45B294AB" w14:textId="7F69E3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Dostęp poprzez interfejs portalowy do całości bądź wybranych elementów skrzynek pocztowych użytkowników w komponencie poczty elektronicznej, z zapewnieniem podstawowej funkcjonalności pracy z tym systemem w zakresie czytania, tworzenia, przesyłania elementów.</w:t>
      </w:r>
    </w:p>
    <w:p w14:paraId="65661456" w14:textId="708239F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Możliwość wykorzystania oferowanego systemu poczty elektronicznej do umieszczania dokumentów w repozytoriach portalu poprzez przesyłanie ich w postaci załączników do maili.</w:t>
      </w:r>
    </w:p>
    <w:p w14:paraId="2DCC2BA3" w14:textId="3644AD9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Integracja z usługą katalogową w zakresie prezentacji informacji o pracownikach. Dane typu: imię, nazwisko, stanowisko, telefon, adres, miejsce w strukturze organizacyjnej mają stanowić źródło dla systemu portalowego.</w:t>
      </w:r>
    </w:p>
    <w:p w14:paraId="52A729C6" w14:textId="074031A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Wsparcie dla standardu wymiany danych z innymi systemami w postaci XML, z wykorzystaniem komunikacji poprzez XML Web Services.</w:t>
      </w:r>
    </w:p>
    <w:p w14:paraId="358FA0C2" w14:textId="13592AF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Przechowywanie całej zawartości portalu (strony, dokumenty, konfiguracja) we wspólnym dla całego serwisu podsystemie bazodanowym z możliwością wydzielenia danych.</w:t>
      </w:r>
    </w:p>
    <w:p w14:paraId="31C3715A" w14:textId="76C88422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Oprogramowanie portalu on-line musi mieć wbudowaną funkcjonalność udostępniania użytkownikom komponentów pakietu biurowego on-line dostępnego przez przeglądarkę.</w:t>
      </w:r>
    </w:p>
    <w:p w14:paraId="6025AAC9" w14:textId="0D874AB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4.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równoważnego do pakietu biurowego on-line dostępnego przez przeglądarkę.</w:t>
      </w:r>
    </w:p>
    <w:p w14:paraId="6CCC0ED7" w14:textId="544A8C75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Pakiet biurowy on-line musi spełniać następujące wymagania:</w:t>
      </w:r>
    </w:p>
    <w:p w14:paraId="2979AE7D" w14:textId="4A002E9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Wymagania odnośnie interfejsu użytkownika:</w:t>
      </w:r>
    </w:p>
    <w:p w14:paraId="16A3747C" w14:textId="26C087E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Pełna polska wersja językowa interfejsu użytkownika.</w:t>
      </w:r>
    </w:p>
    <w:p w14:paraId="1AFA7547" w14:textId="2A320B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b. Prostota i intuicyjność obsługi, pozwalająca na pracę osobom nieposiadającym umiejętności technicznych.</w:t>
      </w:r>
    </w:p>
    <w:p w14:paraId="23453710" w14:textId="1F2DAD6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Oprogramowanie musi umożliwiać tworzenie i edycję dokumentów elektronicznych w ustalonym formacie, który spełnia następujące warunki:</w:t>
      </w:r>
    </w:p>
    <w:p w14:paraId="7007AA0F" w14:textId="574B911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posiada kompletny i publicznie dostępny opis formatu.</w:t>
      </w:r>
    </w:p>
    <w:p w14:paraId="53F374C1" w14:textId="6A7080E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ma zdefiniowany układ informacji w postaci XML zgodnie z Tabelą B1 załącznika 2 Rozporządzenia w sprawie minimalnych wymagań dla systemów teleinformatycznych (Dz.U.05.212.1766).</w:t>
      </w:r>
    </w:p>
    <w:p w14:paraId="24133EC6" w14:textId="7F079F9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Pakiet biurowy on-line musi zawierać:</w:t>
      </w:r>
    </w:p>
    <w:p w14:paraId="1031737E" w14:textId="159363B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a. Edytor tekstów. </w:t>
      </w:r>
    </w:p>
    <w:p w14:paraId="2B159E24" w14:textId="561F55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b. Arkusz kalkulacyjny. </w:t>
      </w:r>
    </w:p>
    <w:p w14:paraId="5D1AD2AD" w14:textId="6036173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Narzędzie do przygotowywania i prowadzenia prezentacji.</w:t>
      </w:r>
    </w:p>
    <w:p w14:paraId="30774927" w14:textId="49906E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Narzędzie do tworzenia notatek przy pomocy klawiatury lub notatek odręcznych.</w:t>
      </w:r>
    </w:p>
    <w:p w14:paraId="04415DF0" w14:textId="0E17A11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e. Musi być w pełni kompatybilny z posiadanym przez Zamawiającego oprogramowaniem pakietów biurowych – MS Office 2010, MS Office 2013, MS Office 2016, MS Exchange 2013, MS Visio 2013, MS Project 2013 </w:t>
      </w:r>
    </w:p>
    <w:p w14:paraId="0B59FE1C" w14:textId="209CE9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Edytor tekstów musi umożliwiać:</w:t>
      </w:r>
    </w:p>
    <w:p w14:paraId="17BBEE08" w14:textId="7E11960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Edycję i formatowanie tekstu w języku polskim wraz z obsługą języka polskiego w zakresie sprawdzania pisowni i poprawności gramatycznej oraz funkcjonalnością słownika wyrazów bliskoznacznych i autokorekty.</w:t>
      </w:r>
    </w:p>
    <w:p w14:paraId="28779C59" w14:textId="09340C2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b. Wstawianie oraz formatowanie tabel. </w:t>
      </w:r>
    </w:p>
    <w:p w14:paraId="408EBB5F" w14:textId="3561742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Wstawianie oraz formatowanie obiektów graficznych.</w:t>
      </w:r>
    </w:p>
    <w:p w14:paraId="744A5604" w14:textId="00E0707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Wstawianie wykresów i tabel z arkusza kalkulacyjnego (wliczając tabele przestawne).</w:t>
      </w:r>
    </w:p>
    <w:p w14:paraId="7737F348" w14:textId="1A46204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Automatyczne numerowanie rozdziałów, punktów, akapitów, tabel i rysunków.</w:t>
      </w:r>
    </w:p>
    <w:p w14:paraId="6C29027C" w14:textId="77F70F8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Automatyczne tworzenie spisów treści.</w:t>
      </w:r>
    </w:p>
    <w:p w14:paraId="134EDD04" w14:textId="2264390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Formatowanie nagłówków i stopek stron.</w:t>
      </w:r>
    </w:p>
    <w:p w14:paraId="68F7DF12" w14:textId="70AA4A6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Sprawdzanie pisowni w języku polskim.</w:t>
      </w:r>
    </w:p>
    <w:p w14:paraId="1A79DE6B" w14:textId="4F4F00D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Śledzenie zmian wprowadzonych przez użytkowników.</w:t>
      </w:r>
    </w:p>
    <w:p w14:paraId="1197682E" w14:textId="7C21D73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Nagrywanie, tworzenie i edycję makr automatyzujących wykonywanie czynności.</w:t>
      </w:r>
    </w:p>
    <w:p w14:paraId="073BC324" w14:textId="736C26F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Określenie układu strony (pionowa/pozioma).</w:t>
      </w:r>
    </w:p>
    <w:p w14:paraId="713B2C26" w14:textId="5CA7761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l. Wydruk dokumentów.</w:t>
      </w:r>
    </w:p>
    <w:p w14:paraId="0B460F48" w14:textId="7799CBA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Wykonywanie korespondencji seryjnej bazując na danych adresowych pochodzących z arkusza kalkulacyjnego i z narzędzia do zarządzania informacją prywatną.</w:t>
      </w:r>
    </w:p>
    <w:p w14:paraId="2A436D26" w14:textId="4F6B3CB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n. Pracę na dokumentach utworzonych przy pomocy Microsoft Word 2003 lub Microsoft Word 2007 i 2010 z zapewnieniem bezproblemowej konwersji wszystkich elementów i atrybutów dokumentu.</w:t>
      </w:r>
    </w:p>
    <w:p w14:paraId="587DAB09" w14:textId="59DF637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o. Zabezpieczenie dokumentów hasłem przed odczytem oraz przed wprowadzaniem modyfikacji.</w:t>
      </w:r>
    </w:p>
    <w:p w14:paraId="4E179520" w14:textId="5377F1D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p. Wymagana jest dostępność do oferowanego edytora tekstu bezpłatnych narzędzi umożliwiających wykorzystanie go jako środowiska udostępniającego formularze bazujące na schematach XML z Centralnego Repozytorium Wzorów Dokumentów Elektronicznych, które po wypełnieniu umożliwiają zapisanie pliku XML w zgodzie z obowiązującym prawem.</w:t>
      </w:r>
    </w:p>
    <w:p w14:paraId="0304C25A" w14:textId="4FB535B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q. 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</w:r>
    </w:p>
    <w:p w14:paraId="4B38BEC1" w14:textId="1249123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Arkusz kalkulacyjny musi umożliwiać:</w:t>
      </w:r>
    </w:p>
    <w:p w14:paraId="3BC27F71" w14:textId="18000A0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Tworzenie raportów tabelarycznych.</w:t>
      </w:r>
    </w:p>
    <w:p w14:paraId="3627A777" w14:textId="267F314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Tworzenie wykresów liniowych (wraz linią trendu), słupkowych, kołowych.</w:t>
      </w:r>
    </w:p>
    <w:p w14:paraId="7469C84F" w14:textId="1097E3B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Tworzenie arkuszy kalkulacyjnych zawierających teksty, dane liczbowe oraz formuły przeprowadzające operacje matematyczne, logiczne, tekstowe, statystyczne oraz operacje na danych finansowych i na miarach czasu.</w:t>
      </w:r>
    </w:p>
    <w:p w14:paraId="20622CE3" w14:textId="5C09BEA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Tworzenie raportów z zewnętrznych źródeł danych (inne arkusze kalkulacyjne, bazy danych zgodne z ODBC, pliki tekstowe, pliki XML,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webservice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).</w:t>
      </w:r>
    </w:p>
    <w:p w14:paraId="0030AB2D" w14:textId="5E40831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Obsługę kostek OLAP oraz tworzenie i edycję kwerend bazodanowych i webowych. Narzędzia wspomagające analizę statystyczną i finansową, analizę wariantową i rozwiązywanie problemów optymalizacyjnych.</w:t>
      </w:r>
    </w:p>
    <w:p w14:paraId="581CC438" w14:textId="4A350A3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Tworzenie raportów tabeli przestawnych umożliwiających dynamiczną zmianę wymiarów oraz wykresów bazujących na danych z tabeli przestawnych.</w:t>
      </w:r>
    </w:p>
    <w:p w14:paraId="54B93D21" w14:textId="45F35BA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Wyszukiwanie i zamianę danych.</w:t>
      </w:r>
    </w:p>
    <w:p w14:paraId="0B53F342" w14:textId="011F514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h. Wykonywanie analiz danych przy użyciu formatowania warunkowego.</w:t>
      </w:r>
    </w:p>
    <w:p w14:paraId="4B02E342" w14:textId="1EA2D6C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i. Nazywanie komórek arkusza i odwoływanie się w formułach po takiej nazwie.</w:t>
      </w:r>
    </w:p>
    <w:p w14:paraId="00AA93DA" w14:textId="4398A74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j. Nagrywanie, tworzenie i edycję makr automatyzujących wykonywanie czynności.</w:t>
      </w:r>
    </w:p>
    <w:p w14:paraId="1CB30832" w14:textId="28EB8FD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k. Formatowanie czasu, daty i wartości finansowych z polskim formatem.</w:t>
      </w:r>
    </w:p>
    <w:p w14:paraId="05F3DCD6" w14:textId="5DC4A5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l. Zapis wielu arkuszy kalkulacyjnych w jednym pliku.</w:t>
      </w:r>
    </w:p>
    <w:p w14:paraId="3754A946" w14:textId="4CF7742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m. Zachowanie pełnej zgodności z formatami plików utworzonych za pomocą oprogramowania Microsoft Excel 2003 oraz Microsoft Excel 2007 i 2010, z uwzględnieniem poprawnej realizacji użytych w nich funkcji specjalnych i makropoleceń.</w:t>
      </w:r>
    </w:p>
    <w:p w14:paraId="7BD65E9C" w14:textId="0189657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n. Zabezpieczenie dokumentów hasłem przed odczytem oraz przed wprowadzaniem modyfikacji.</w:t>
      </w:r>
    </w:p>
    <w:p w14:paraId="441C6F04" w14:textId="6B663D2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6. Narzędzie do przygotowywania i prowadzenia prezentacji musi umożliwiać:</w:t>
      </w:r>
    </w:p>
    <w:p w14:paraId="7EB16935" w14:textId="79A3191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Przygotowywanie prezentacji multimedialnych, które będą:</w:t>
      </w:r>
    </w:p>
    <w:p w14:paraId="2B54EDED" w14:textId="50466D2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Prezentowane przy użyciu projektora multimedialnego.</w:t>
      </w:r>
    </w:p>
    <w:p w14:paraId="4DCED0B1" w14:textId="6E6CD10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Drukowane w formacie umożliwiającym robienie notatek.</w:t>
      </w:r>
    </w:p>
    <w:p w14:paraId="4B4B584E" w14:textId="094A614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Zapisane jako prezentacja tylko do odczytu.</w:t>
      </w:r>
    </w:p>
    <w:p w14:paraId="4AD118F4" w14:textId="3703D11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• Nagrywane narracji i dołączanie jej do prezentacji.</w:t>
      </w:r>
    </w:p>
    <w:p w14:paraId="0FA98628" w14:textId="0B7ED9F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Opatrywane notatkami dla prezentera.</w:t>
      </w:r>
    </w:p>
    <w:p w14:paraId="69B4D599" w14:textId="398123D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Umieszczanie i formatowanie tekstów, obiektów graficznych, tabel, nagrań dźwiękowych i wideo.</w:t>
      </w:r>
    </w:p>
    <w:p w14:paraId="4FC6433A" w14:textId="6D0956B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Umieszczanie tabel i wykresów pochodzących z arkusza kalkulacyjnego.</w:t>
      </w:r>
    </w:p>
    <w:p w14:paraId="7AA8A3E4" w14:textId="2FA43BA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Odświeżenie wykresu znajdującego się w prezentacji po zmianie danych w źródłowym arkuszu kalkulacyjnym.</w:t>
      </w:r>
    </w:p>
    <w:p w14:paraId="0B3AEC5B" w14:textId="5AB4E7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Możliwość tworzenia animacji obiektów i całych slajdów.</w:t>
      </w:r>
    </w:p>
    <w:p w14:paraId="73007BF0" w14:textId="0A38B97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Prowadzenie prezentacji w trybie prezentera, gdzie slajdy są widoczne na jednym monitorze lub projektorze, a na drugim widoczne są slajdy i notatki prezentera.</w:t>
      </w:r>
    </w:p>
    <w:p w14:paraId="5E85863F" w14:textId="33378C3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Pełna zgodność z formatami plików utworzonych za pomocą oprogramowania MS PowerPoint 2007, 2010 i 2013.</w:t>
      </w:r>
    </w:p>
    <w:p w14:paraId="296B6C87" w14:textId="1A51AB8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5.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równoważnego do serwera komunikacji wielokanałowej online (SKW).</w:t>
      </w:r>
    </w:p>
    <w:p w14:paraId="3929C053" w14:textId="680C79C7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Funkcjonalność wspomagająca wewnętrzną i zewnętrzną komunikację ma zapewnić w oparciu o natywne (wbudowane w serwer) mechanizmy:</w:t>
      </w:r>
    </w:p>
    <w:p w14:paraId="604B4F65" w14:textId="2874BE4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Bezpieczną komunikację głosową oraz video.</w:t>
      </w:r>
    </w:p>
    <w:p w14:paraId="49AD5A4B" w14:textId="40D1173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Przesyłanie wiadomości błyskawicznych (tekstowych).</w:t>
      </w:r>
    </w:p>
    <w:p w14:paraId="3C0BB03C" w14:textId="38415F9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Możliwość organizowania telekonferencji.</w:t>
      </w:r>
    </w:p>
    <w:p w14:paraId="376FA9A8" w14:textId="3BD5DBF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Możliwość współdzielenia dokumentów w trakcie spotkań on-line (zdalnych).</w:t>
      </w:r>
    </w:p>
    <w:p w14:paraId="2B188CA2" w14:textId="6692714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równoważnego do repozytorium dokumentów.</w:t>
      </w:r>
    </w:p>
    <w:p w14:paraId="2D1BD68E" w14:textId="198A9F85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Repozytorium dokumentów musi zapewnić przestrzeń dyskowej o pojemności minimum 1 TB dla każdego użytkownika. Repozytorium musi umożliwiać użytkownikom pakietów biurowych na:</w:t>
      </w:r>
    </w:p>
    <w:p w14:paraId="23A470F5" w14:textId="2463AE7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traktowanie go, jako własnego dysku.</w:t>
      </w:r>
    </w:p>
    <w:p w14:paraId="79F13D36" w14:textId="4360342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synchronizację zawartości wybranego folderu ze stacji roboczej do repozytorium przypisanego danemu użytkownikowi na bazie niezaprzeczalnego uwierzytelnienia.</w:t>
      </w:r>
    </w:p>
    <w:p w14:paraId="66E817C8" w14:textId="761310B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synchronizację zawartości repozytorium z wieloma urządzeniami w ramach uprawnień użytkownika –właściciela repozytorium.</w:t>
      </w:r>
    </w:p>
    <w:p w14:paraId="71DD903E" w14:textId="43A5BC3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7.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Funkcjonalność oprogramowania do zarządzania urządzeniami oraz tożsamością użytkowników.</w:t>
      </w:r>
    </w:p>
    <w:p w14:paraId="20435055" w14:textId="58728F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Powyższa funkcjonalność musi spełniać następujące wymagania:</w:t>
      </w:r>
    </w:p>
    <w:p w14:paraId="1B4C0479" w14:textId="4F47207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 Pełne zarządzanie urządzeniami mobilnymi (iOS, Android, Windows Phone, Windows RT). </w:t>
      </w:r>
    </w:p>
    <w:p w14:paraId="14C7E179" w14:textId="639D802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Możliwość wykorzystania Right Management Services (RMS) - ochronę treści na urządzeniach mobilnych.</w:t>
      </w:r>
    </w:p>
    <w:p w14:paraId="7CF8305C" w14:textId="0AF220F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3. Portal klasy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self-serivce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dla użytkowników mobilnych pozwalający na zdalny reset haseł i zarządzanie przynależnością do grup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security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w usłudze katalogowej.</w:t>
      </w:r>
    </w:p>
    <w:p w14:paraId="0F82C7A7" w14:textId="4E10139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4. Podniesienie poziomu bezpieczeństwa dostępu do aplikacji webowych – poprzez uwierzytelnianie wieloskładnikowe (np. poprzez jednorazowe hasła SMS).</w:t>
      </w:r>
    </w:p>
    <w:p w14:paraId="00DFAAC3" w14:textId="14D29E3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Prawo do korzystania z rozwiązania klasy on-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premise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, który służy do zaawansowanego zarządzanie tożsamością w organizacji.</w:t>
      </w:r>
    </w:p>
    <w:p w14:paraId="31590A50" w14:textId="666DE26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Wymagane scenariusze użycia:</w:t>
      </w:r>
    </w:p>
    <w:p w14:paraId="22C0A505" w14:textId="53929EC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Wykorzystanie telefonów do uwierzytelniania wieloczynnikowego z wykorzystaniem jednorazowych haseł SMS podczas dostępu do aplikacji webowych pozwala na podniesienie poziomu zabezpieczeń np. podczas dostępu do danych firmowych z dowolnego urządzenia.</w:t>
      </w:r>
    </w:p>
    <w:p w14:paraId="7FACA573" w14:textId="624C843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Możliwość wydajnej pracy przez użytkowników na licznych lubianych przez nich narzędziach, zapewnia im dostęp do potrzebnych aplikacji.</w:t>
      </w:r>
    </w:p>
    <w:p w14:paraId="4B929CD5" w14:textId="6DADB74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Jednokrotne logowanie w oparciu o poświadczenia domenowe do aplikacji SaaS wykorzystujących różne źródła tożsamości użytkownika ułatwia pracę użytkownika i redukuje przestoje czasowe.</w:t>
      </w:r>
    </w:p>
    <w:p w14:paraId="78FA8C66" w14:textId="4496A99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Samoobsługowy mechanizm resetu hasła użytkownika, zarządzania członkostwem w grupach i obsługi kart inteligentnych pozwala na redukcję ilości zgłoszeń działów wsparcia nawet o 30%.</w:t>
      </w:r>
    </w:p>
    <w:p w14:paraId="4DF81DA9" w14:textId="290F693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Automatyczne przepływy pracy i reguł biznesowych pozwalają na zaoszczędzenie czasu i wyeliminowanie błędów (np. przy zatrudnianiu nowych pracowników od pojawienia się osoby w systemie HR poprzez tworzenie kont dostępowych i nadawanie uprawnień do różnych systemów, zastrzeganie tożsamości na podstawie reguł biznesowych).</w:t>
      </w:r>
    </w:p>
    <w:p w14:paraId="117DFD20" w14:textId="7454D9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6. Ochrona danych poprzez wykrywanie i mapowanie ról biznesowych pozwala na audyt i kontrolę zgodności z przepisami oraz ciągłą weryfikację stanu bezpieczeństwa systemów. </w:t>
      </w:r>
    </w:p>
    <w:p w14:paraId="02E48329" w14:textId="57DD57A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7. Zarządzanie urządzeniami mobilnymi pozwala na kontrolowany lub warunkowy dostęp do zasobów organizacji, a w sytuacjach awaryjnych umożliwia zdalne kasowanie danych firmowych lub całego urządzenia.</w:t>
      </w:r>
    </w:p>
    <w:p w14:paraId="25604481" w14:textId="6E2D276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2D9F6B65" w14:textId="54372E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Dodatkowo funkcjonalność musi składać się z poniższych podsystemów:</w:t>
      </w:r>
    </w:p>
    <w:p w14:paraId="487688F9" w14:textId="580F647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Podsystem zarządzania tożsamością</w:t>
      </w:r>
    </w:p>
    <w:p w14:paraId="05D8C04E" w14:textId="5A5A0A6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Podsystem zarządzania urządzeniami mobilnymi</w:t>
      </w:r>
    </w:p>
    <w:p w14:paraId="40C24CFB" w14:textId="6CFD73E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Podsystem ochrony informacji</w:t>
      </w:r>
    </w:p>
    <w:p w14:paraId="6A4C90E6" w14:textId="177E0CC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Podsystem usługi katalogowej</w:t>
      </w:r>
    </w:p>
    <w:p w14:paraId="6579F6D2" w14:textId="2A9DFAE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a. </w:t>
      </w:r>
      <w:r>
        <w:tab/>
      </w:r>
      <w:r w:rsidRPr="24CA07DD">
        <w:rPr>
          <w:rFonts w:ascii="Calibri" w:eastAsia="Calibri" w:hAnsi="Calibri" w:cs="Calibri"/>
          <w:color w:val="000000" w:themeColor="text1"/>
        </w:rPr>
        <w:t>Podsystem zarządzania tożsamością:</w:t>
      </w:r>
    </w:p>
    <w:p w14:paraId="3DBB1B22" w14:textId="466733F1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System zarządzania tożsamością elektroniczną ma zapewniać agregację oraz synchronizacje danych o użytkownikach różnych systemów w ramach organizacji wraz z zarządzaniem certyfikatami wydawanymi w ramach własnego Centrum certyfikacji.</w:t>
      </w:r>
    </w:p>
    <w:p w14:paraId="72A07932" w14:textId="5DE10CE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Wymagania ogólne:</w:t>
      </w:r>
    </w:p>
    <w:p w14:paraId="6A702ABC" w14:textId="198E3F4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1. Bezpieczeństwo: </w:t>
      </w:r>
    </w:p>
    <w:p w14:paraId="3726B7AA" w14:textId="72D5B15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System zarządzania tożsamością musi umożliwiać zastosowanie przy połączeniu ze źródłami danych mechanizmów zabezpieczeń odpowiednich dla danego źródła danych (mechanizmy uwierzytelnienia </w:t>
      </w:r>
      <w:r w:rsidRPr="24CA07DD">
        <w:rPr>
          <w:rFonts w:ascii="Calibri" w:eastAsia="Calibri" w:hAnsi="Calibri" w:cs="Calibri"/>
          <w:color w:val="000000" w:themeColor="text1"/>
        </w:rPr>
        <w:lastRenderedPageBreak/>
        <w:t>i zabezpieczenia transmisji). System powinien zapewniać również prawidłową współpracę z zarządzanymi źródłami danych w sieci podzielonej poprzez zapory firewall oraz w sieci z zaimplementowanymi mechanizmami ochrony danych na poziomie transmisji danych (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IPSec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, SSL).</w:t>
      </w:r>
    </w:p>
    <w:p w14:paraId="7C015C4F" w14:textId="4F07A6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System zarządzania tożsamością musi umożliwiać w ramach dostarczanych mechanizmów na delegację uprawnień związanych z zarządzaniem i obsługą systemu. System musi umożliwiać odtwarzanie utraconych certyfikatów bezpośrednio na kartę.</w:t>
      </w:r>
    </w:p>
    <w:p w14:paraId="6E1A63F0" w14:textId="00208FB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3. Skalowalność: </w:t>
      </w:r>
    </w:p>
    <w:p w14:paraId="179F70D4" w14:textId="64B5C73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System zarządzania tożsamością dostarczony w ramach zamówienia musi umożliwiać skalowanie mechanizmów systemu, pozwalające na obsługę informację w zakresie od 2 500 do 10 000 obiektów tożsamości, posiadających reprezentację w zarządzanych źródłach danych połączonych z systemem oraz mieć możliwość skalowania stanowisk wydających certyfikaty.</w:t>
      </w:r>
    </w:p>
    <w:p w14:paraId="1BDE3BBC" w14:textId="3B50FD4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Interoperacyjność:</w:t>
      </w:r>
    </w:p>
    <w:p w14:paraId="2133AE4D" w14:textId="667EA8B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System zarządzania tożsamością powinien zapewniać możliwość działania systemu w środowisku heterogenicznym. Współpraca ta powinna być realizowana z użyciem standardowych dla źródeł danych protokołów dostępu oraz przy minimalnej ingerencji w mechanizmy działania źródła danych połączonego z systemem. System zarządzania tożsamością powinien zapewniać możliwość realizacji dwukierunkowej wymiany informacji z połączonymi źródłami danych oraz musi udostępniać standardowe interfejsy umożliwiające komunikację dwustronną (np. wymianę danych o użytkownikach) z innymi systemami informatycznymi. </w:t>
      </w:r>
    </w:p>
    <w:p w14:paraId="5AD6ED59" w14:textId="6C31485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Rozszerzalność:</w:t>
      </w:r>
    </w:p>
    <w:p w14:paraId="6C6BDCD4" w14:textId="6BCFE49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System zarządzania tożsamością powinien umożliwiać rozszerzenie w przyszłości funkcjonalności o połączenia z innymi typami źródeł danych jak i rozszerzenie mechanizmów logiki systemu. System zarządzania tożsamością powinien umożliwiać rozszerzenie w przyszłości rozwiązania o mechanizmy raportowanie i audytu informacji o tożsamości. </w:t>
      </w:r>
    </w:p>
    <w:p w14:paraId="7EBB646A" w14:textId="792F997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Podsystem zarządzania urządzeniami mobilnymi</w:t>
      </w:r>
    </w:p>
    <w:p w14:paraId="35A4B055" w14:textId="6FB3718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Dostępna poprzez Internet na zasadzie licencji narzędzia pozwalające na budowę           bezpiecznego i skalowalnego środowiska, a w szczególności:</w:t>
      </w:r>
    </w:p>
    <w:p w14:paraId="03B510C9" w14:textId="25FB73B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Integrację z systemem SCCM 2012 R2 w oparciu o natywne interfejsy komunikacyjne.</w:t>
      </w:r>
    </w:p>
    <w:p w14:paraId="53D680C1" w14:textId="1C2F3B4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Wykorzystanie bazy użytkowników znajdujących się w Active Directory.</w:t>
      </w:r>
    </w:p>
    <w:p w14:paraId="51D1EF62" w14:textId="1E70AF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Porozumiewania się z użytkownikiem końcowym w języku polskim.</w:t>
      </w:r>
    </w:p>
    <w:p w14:paraId="531A02B0" w14:textId="3B2EF0B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Inwentaryzacja sprzętu i zarządzanie zasobami:</w:t>
      </w:r>
    </w:p>
    <w:p w14:paraId="51B2C401" w14:textId="040B169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a. Inwentaryzacja zasobów urządzenia mobilnego odbywa się w interwałach czasowych. </w:t>
      </w:r>
    </w:p>
    <w:p w14:paraId="28B6EDFB" w14:textId="6AED9D8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Inwentaryzacja sprzętu pozwala na zbieranie następujących informacji.</w:t>
      </w:r>
    </w:p>
    <w:p w14:paraId="35185DE1" w14:textId="4CBE373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Nazwa urządzenia.</w:t>
      </w:r>
    </w:p>
    <w:p w14:paraId="27BE2915" w14:textId="2796C83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Identyfikator urządzenia.</w:t>
      </w:r>
    </w:p>
    <w:p w14:paraId="469EB44C" w14:textId="3471B6E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Nazwa platformy systemu operacyjnego.</w:t>
      </w:r>
    </w:p>
    <w:p w14:paraId="6B64B783" w14:textId="0BF227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Wersja oprogramowania układowego.</w:t>
      </w:r>
    </w:p>
    <w:p w14:paraId="65EC137F" w14:textId="0E32AA7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• Typ procesora.</w:t>
      </w:r>
    </w:p>
    <w:p w14:paraId="7E3B7A55" w14:textId="4A9F764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Model urządzenia.</w:t>
      </w:r>
    </w:p>
    <w:p w14:paraId="6EF9B15C" w14:textId="59E0DC8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Producent urządzenia.</w:t>
      </w:r>
    </w:p>
    <w:p w14:paraId="107FA209" w14:textId="3113120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Architektura procesora.</w:t>
      </w:r>
    </w:p>
    <w:p w14:paraId="6AF0F3DF" w14:textId="71765E4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Język urządzenia.</w:t>
      </w:r>
    </w:p>
    <w:p w14:paraId="7588AF45" w14:textId="0A54ECC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Lista aplikacji zainstalowanych w ramach przedsiębiorstwa.</w:t>
      </w:r>
    </w:p>
    <w:p w14:paraId="102E6CE7" w14:textId="562AC8A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Zdalna blokada i wymazanie:</w:t>
      </w:r>
    </w:p>
    <w:p w14:paraId="2CE83022" w14:textId="17AEDF4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W celu zapewnienia bezpieczeństwa danych oprogramowanie musi umożliwiać funkcjonalność zdalnej blokady, wymazania urządzenia (przywrócenia urządzenia do ustawień fabrycznych) oraz selektywnego wymazania danych i aplikacji.</w:t>
      </w:r>
    </w:p>
    <w:p w14:paraId="5B152027" w14:textId="1BD49D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Oprogramowanie te mają być możliwe do zrealizowania z poziomu SCCM (dla operatorów systemu) lub poprzez dedykowany interfejs webowy lub aplikację (dla użytkownika urządzenia mobilnego).</w:t>
      </w:r>
    </w:p>
    <w:p w14:paraId="67238D17" w14:textId="3BF6D4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Dystrybucja oprogramowania:</w:t>
      </w:r>
    </w:p>
    <w:p w14:paraId="52569948" w14:textId="1D8316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Pakiety instalacyjne dla aplikacji mobilnych mogą być przechowywane na specjalnie wydzielonych zasobach sieciowych – punktach dystrybucyjnych (tak jak ma to miejsce dla dystrybucji aplikacji). Punkty te mogą być zasobami sieciowymi lub wydzielonymi witrynami WWW lub punktami dystrybucyjnymi w usłudze.</w:t>
      </w:r>
    </w:p>
    <w:p w14:paraId="7F956CD3" w14:textId="2D2F29B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Systemu UDM umożliwia dystrybucję oprogramowania na prośbę użytkownika, realizowaną poprzez wybór oprogramowania w ramach dostępnego katalogu aplikacji.</w:t>
      </w:r>
    </w:p>
    <w:p w14:paraId="223BF2C5" w14:textId="158C48A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Katalog aplikacji jest zrealizowany w oparciu o dedykowaną witrynę webową lub dedykowaną aplikację (dostępną dla poszczególnych platform w dedykowanych sklepach mobilnych).</w:t>
      </w:r>
    </w:p>
    <w:p w14:paraId="728EF2CA" w14:textId="5B7F6E1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Katalog aplikacji wspiera następujące formaty aplikacji mobilnych:</w:t>
      </w:r>
    </w:p>
    <w:p w14:paraId="6A52B7F3" w14:textId="7F2E6F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*.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appx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(Windows RT),</w:t>
      </w:r>
    </w:p>
    <w:p w14:paraId="742A66A9" w14:textId="557FA655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*.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xap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(Windows Phone 8),</w:t>
      </w:r>
    </w:p>
    <w:p w14:paraId="6836499B" w14:textId="53688F3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*.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ipa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(iOS),</w:t>
      </w:r>
    </w:p>
    <w:p w14:paraId="10E25D6F" w14:textId="4B05CD5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• *.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apk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(Android).</w:t>
      </w:r>
    </w:p>
    <w:p w14:paraId="45D9D815" w14:textId="027FC18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Katalog aplikacji musi mieć możliwość publikowania aplikacji znajdujących się w następujących sklepach mobilnych aplikacji:</w:t>
      </w:r>
    </w:p>
    <w:p w14:paraId="3C17F656" w14:textId="3AA74E2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• Windows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Store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</w:t>
      </w:r>
    </w:p>
    <w:p w14:paraId="02DD2E77" w14:textId="1AF6D07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• Windows Phone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Store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</w:t>
      </w:r>
    </w:p>
    <w:p w14:paraId="432AD309" w14:textId="79EB6EB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• Android Google Play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Store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</w:t>
      </w:r>
    </w:p>
    <w:p w14:paraId="421973DA" w14:textId="5AF23F5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• iOS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App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Store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>.</w:t>
      </w:r>
    </w:p>
    <w:p w14:paraId="2915B68E" w14:textId="17114B1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Definiowanie polityk urządzenia mobilnego:</w:t>
      </w:r>
    </w:p>
    <w:p w14:paraId="32D4F232" w14:textId="3EC742F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a. Komponenty umożliwiające zdefiniowanie standardu polityk urządzenia mobilnego. W obszarze polityki haseł system zapewni:</w:t>
      </w:r>
    </w:p>
    <w:p w14:paraId="0B1B0454" w14:textId="6AD2AF8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Zdefiniowanie wymuszenia hasła.</w:t>
      </w:r>
    </w:p>
    <w:p w14:paraId="22748A9B" w14:textId="0DCB8BD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Określenia minimalnej długości hasła.</w:t>
      </w:r>
    </w:p>
    <w:p w14:paraId="30D995D3" w14:textId="63DC1B5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Określenia czasu wygasania hasła.</w:t>
      </w:r>
    </w:p>
    <w:p w14:paraId="00403AF8" w14:textId="7FF8FAD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Określenia ilości pamiętanych haseł.</w:t>
      </w:r>
    </w:p>
    <w:p w14:paraId="72690C97" w14:textId="33794C1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Określenia ilości prób nieudanego wprowadzenia hasła przed wyczyszczeniem urządzenia.</w:t>
      </w:r>
    </w:p>
    <w:p w14:paraId="1AAE5CE7" w14:textId="730D7E47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g. Określenia czasu bezczynności urządzenia, po jakim będzie wymagane podanie hasła.</w:t>
      </w:r>
    </w:p>
    <w:p w14:paraId="6A97A3DA" w14:textId="762F7D3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Raportowanie, prezentacja danych:</w:t>
      </w:r>
    </w:p>
    <w:p w14:paraId="45940B0C" w14:textId="3DB39E36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Oprogramowanie ma umożliwiać skorzystanie z szeregu predefiniowane raportów dedykowanych dla klas urządzeń mobilnych. W szczególności w obszarze raportowania zainstalowanego oprogramowania jest możliwość zebrania informacji o zainstalowanym oprogramowaniu na urządzeniu firmowym lub urządzeniu użytkownika.</w:t>
      </w:r>
    </w:p>
    <w:p w14:paraId="28A1BC35" w14:textId="05259E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 </w:t>
      </w:r>
    </w:p>
    <w:p w14:paraId="58C21275" w14:textId="6AC6FF2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c.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Podsystem ochrony informacji</w:t>
      </w:r>
    </w:p>
    <w:p w14:paraId="447A2780" w14:textId="2A40C970" w:rsidR="699C8EA7" w:rsidRDefault="699C8EA7" w:rsidP="24CA07DD">
      <w:pPr>
        <w:spacing w:line="257" w:lineRule="auto"/>
        <w:ind w:firstLine="708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Oprogramowanie bezpieczeństwa informacji musi pozwalać na stworzenie mechanizmów ochrony wybranych zasobów informacji w systemach jej obiegu i udostępniania w ramach systemów Zamawiającego i poza nimi, chroniąc ją przed nieuprawnionym dostępem. </w:t>
      </w:r>
    </w:p>
    <w:p w14:paraId="367722E3" w14:textId="611B1E7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Oprogramowanie musi spełniać następujące wymagania:</w:t>
      </w:r>
    </w:p>
    <w:p w14:paraId="5088A712" w14:textId="6A14314B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Chroniona ma być informacja (pliki, wiadomości poczty elektronicznej), a nie fizyczne miejsce jej przechowywania.</w:t>
      </w:r>
    </w:p>
    <w:p w14:paraId="6B893DA0" w14:textId="4ED05F0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Oprogramowanie musi współdziałać przynajmniej z narzędziami Microsoft Office, Microsoft Office 365, Microsoft SharePoint i Microsoft Exchange w wersjach 2010 lub nowszych poprzez wbudowany w te produkty interfejs.</w:t>
      </w:r>
    </w:p>
    <w:p w14:paraId="462A1283" w14:textId="615358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Możliwość kontroli, kto i w jaki sposób ma dostęp do informacji.</w:t>
      </w:r>
    </w:p>
    <w:p w14:paraId="4826E019" w14:textId="12937CC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4. Możliwość wykorzystania zdefiniowanych polityk w zakresie szyfrowania, zarządzania tożsamością i zasadami autoryzacji. </w:t>
      </w:r>
    </w:p>
    <w:p w14:paraId="198E8017" w14:textId="1FB4E10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Możliwość określenia uprawnień dostępu do informacji dla użytkowników i ich grup zdefiniowanych w usłudze katalogowej, np.:</w:t>
      </w:r>
    </w:p>
    <w:p w14:paraId="69CBD8D7" w14:textId="4DC92BF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a. Brak uprawnień dostępu do informacji.</w:t>
      </w:r>
    </w:p>
    <w:p w14:paraId="3DA23C19" w14:textId="57E3E5C4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b. Informacja tylko do odczytu.</w:t>
      </w:r>
    </w:p>
    <w:p w14:paraId="4F1125B5" w14:textId="3F128C1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c. Prawo do edycji informacji.</w:t>
      </w:r>
    </w:p>
    <w:p w14:paraId="7865C389" w14:textId="27709D6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d. Brak możliwości wykonania systemowego zrzutu ekranu.</w:t>
      </w:r>
    </w:p>
    <w:p w14:paraId="4195F5A4" w14:textId="3022AA6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e. Brak możliwości drukowania informacji czy wiadomości poczty elektronicznej.</w:t>
      </w:r>
    </w:p>
    <w:p w14:paraId="42FFC049" w14:textId="23E3FA80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f. Brak możliwości przesyłania dalej wiadomości poczty elektronicznej.</w:t>
      </w:r>
    </w:p>
    <w:p w14:paraId="4DC41903" w14:textId="2989428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lastRenderedPageBreak/>
        <w:t>g. Brak możliwości użycia opcji „Odpowiedz wszystkim” w poczcie elektronicznej.</w:t>
      </w:r>
    </w:p>
    <w:p w14:paraId="5DB8A062" w14:textId="025B22B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6. Możliwość wymiany informacji objętej restrykcjami dla użytkowników pocztowych domen biznesowych spoza usługi katalogowej.</w:t>
      </w:r>
    </w:p>
    <w:p w14:paraId="06B8551B" w14:textId="53EA688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7. Możliwość wyboru restrykcji dostępu w postaci standardowych, łatwych do wyboru szablonów, powstałych na bazie polityk ochrony informacji.</w:t>
      </w:r>
    </w:p>
    <w:p w14:paraId="740D6CD4" w14:textId="6EC97323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8. Możliwość automatyzacji pobierania aplikacji zarządzania uprawnieniami do informacji lub „cichej” instalacji w całej organizacji.</w:t>
      </w:r>
    </w:p>
    <w:p w14:paraId="3ABDCC80" w14:textId="3198FC1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9. Możliwość wykorzystania na platformach systemu Windows 7 lub wyższych oraz na platformach mobilnych iPad i iPhone, Android, Windows Phone i Windows RT.</w:t>
      </w:r>
    </w:p>
    <w:p w14:paraId="54040FA3" w14:textId="0DEA831A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10. Możliwość wykorzystania mechanizmów połączenia z infrastrukturą poczty (Exchange), plików lub bibliotek SharePoint.</w:t>
      </w:r>
    </w:p>
    <w:p w14:paraId="720A09D9" w14:textId="4E4A00D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d. </w:t>
      </w:r>
      <w:r w:rsidRPr="24CA07DD">
        <w:rPr>
          <w:rFonts w:ascii="Calibri" w:eastAsia="Calibri" w:hAnsi="Calibri" w:cs="Calibri"/>
          <w:color w:val="000000" w:themeColor="text1"/>
          <w:u w:val="single"/>
        </w:rPr>
        <w:t>Podsystem usługi katalogowej</w:t>
      </w:r>
    </w:p>
    <w:p w14:paraId="1B4DABEE" w14:textId="3748397E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Usługa katalogowa musi zapewnić:</w:t>
      </w:r>
    </w:p>
    <w:p w14:paraId="08849DAC" w14:textId="22DA774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1. Możliwość zintegrowania jednokrotnego logowania (SSO) dla ponad 2500 popularnych aplikacji typu SaaS.</w:t>
      </w:r>
    </w:p>
    <w:p w14:paraId="2CD84636" w14:textId="0F1D6458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2. Możliwość publikacji aplikacji webowych z wewnątrz organizacji.</w:t>
      </w:r>
    </w:p>
    <w:p w14:paraId="6333FCEC" w14:textId="77083669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3. Możliwość połączenia z usługą Active Directory wewnątrz organizacji.</w:t>
      </w:r>
    </w:p>
    <w:p w14:paraId="701691F4" w14:textId="75D9E64C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4. Konsolę zarządzania tożsamością i dostępem.</w:t>
      </w:r>
    </w:p>
    <w:p w14:paraId="0E96A9AC" w14:textId="1605F4BD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5. Scentralizowane zarządzanie przydzielania dostępu do aplikacji.</w:t>
      </w:r>
    </w:p>
    <w:p w14:paraId="4C536BAC" w14:textId="673BD396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6. Wbudowane możliwości uwierzytelniania wieloskładnikowego (np. jednorazowe hasła SMS przy dostępie do aplikacji webowych).</w:t>
      </w:r>
    </w:p>
    <w:p w14:paraId="30FCD2C3" w14:textId="5826CF81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 xml:space="preserve">7. Zaawansowane raporty maszynowe (np. wykrywanie logowania użytkownika z różnych </w:t>
      </w:r>
      <w:proofErr w:type="spellStart"/>
      <w:r w:rsidRPr="24CA07DD">
        <w:rPr>
          <w:rFonts w:ascii="Calibri" w:eastAsia="Calibri" w:hAnsi="Calibri" w:cs="Calibri"/>
          <w:color w:val="000000" w:themeColor="text1"/>
        </w:rPr>
        <w:t>geolokalizacji</w:t>
      </w:r>
      <w:proofErr w:type="spellEnd"/>
      <w:r w:rsidRPr="24CA07DD">
        <w:rPr>
          <w:rFonts w:ascii="Calibri" w:eastAsia="Calibri" w:hAnsi="Calibri" w:cs="Calibri"/>
          <w:color w:val="000000" w:themeColor="text1"/>
        </w:rPr>
        <w:t xml:space="preserve"> w podobnym czasie, z podejrzanych adresów IP).</w:t>
      </w:r>
    </w:p>
    <w:p w14:paraId="287AA944" w14:textId="2344B3DF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8. Samoobsługowe resetowania hasła.</w:t>
      </w:r>
    </w:p>
    <w:p w14:paraId="6D3CCA26" w14:textId="155A66F2" w:rsidR="699C8EA7" w:rsidRDefault="699C8EA7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  <w:r w:rsidRPr="24CA07DD">
        <w:rPr>
          <w:rFonts w:ascii="Calibri" w:eastAsia="Calibri" w:hAnsi="Calibri" w:cs="Calibri"/>
          <w:color w:val="000000" w:themeColor="text1"/>
        </w:rPr>
        <w:t>9. Dostarczanie mechanizmów usługi katalogowej uwierzytelniania użytkowników.</w:t>
      </w:r>
    </w:p>
    <w:p w14:paraId="111A0829" w14:textId="403EECA2" w:rsidR="24CA07DD" w:rsidRDefault="24CA07DD" w:rsidP="24CA07DD">
      <w:pPr>
        <w:spacing w:line="257" w:lineRule="auto"/>
        <w:rPr>
          <w:rFonts w:ascii="Calibri" w:eastAsia="Calibri" w:hAnsi="Calibri" w:cs="Calibri"/>
          <w:color w:val="000000" w:themeColor="text1"/>
        </w:rPr>
      </w:pPr>
    </w:p>
    <w:p w14:paraId="5ED3FF61" w14:textId="1F4C17BF" w:rsidR="24CA07DD" w:rsidRDefault="24CA07DD" w:rsidP="24CA07DD">
      <w:pPr>
        <w:rPr>
          <w:b/>
          <w:bCs/>
        </w:rPr>
      </w:pPr>
    </w:p>
    <w:sectPr w:rsidR="24CA0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B5684"/>
    <w:multiLevelType w:val="hybridMultilevel"/>
    <w:tmpl w:val="867CEB56"/>
    <w:lvl w:ilvl="0" w:tplc="093C88B2">
      <w:start w:val="1"/>
      <w:numFmt w:val="decimal"/>
      <w:lvlText w:val="%1."/>
      <w:lvlJc w:val="left"/>
      <w:pPr>
        <w:ind w:left="720" w:hanging="360"/>
      </w:pPr>
    </w:lvl>
    <w:lvl w:ilvl="1" w:tplc="76CAB278">
      <w:start w:val="1"/>
      <w:numFmt w:val="lowerLetter"/>
      <w:lvlText w:val="%2."/>
      <w:lvlJc w:val="left"/>
      <w:pPr>
        <w:ind w:left="1440" w:hanging="360"/>
      </w:pPr>
    </w:lvl>
    <w:lvl w:ilvl="2" w:tplc="156C2AFA">
      <w:start w:val="1"/>
      <w:numFmt w:val="lowerRoman"/>
      <w:lvlText w:val="%3."/>
      <w:lvlJc w:val="right"/>
      <w:pPr>
        <w:ind w:left="2160" w:hanging="180"/>
      </w:pPr>
    </w:lvl>
    <w:lvl w:ilvl="3" w:tplc="04BA9958">
      <w:start w:val="1"/>
      <w:numFmt w:val="decimal"/>
      <w:lvlText w:val="%4."/>
      <w:lvlJc w:val="left"/>
      <w:pPr>
        <w:ind w:left="2880" w:hanging="360"/>
      </w:pPr>
    </w:lvl>
    <w:lvl w:ilvl="4" w:tplc="2B9449D4">
      <w:start w:val="1"/>
      <w:numFmt w:val="lowerLetter"/>
      <w:lvlText w:val="%5."/>
      <w:lvlJc w:val="left"/>
      <w:pPr>
        <w:ind w:left="3600" w:hanging="360"/>
      </w:pPr>
    </w:lvl>
    <w:lvl w:ilvl="5" w:tplc="BBAE9306">
      <w:start w:val="1"/>
      <w:numFmt w:val="lowerRoman"/>
      <w:lvlText w:val="%6."/>
      <w:lvlJc w:val="right"/>
      <w:pPr>
        <w:ind w:left="4320" w:hanging="180"/>
      </w:pPr>
    </w:lvl>
    <w:lvl w:ilvl="6" w:tplc="C34018BE">
      <w:start w:val="1"/>
      <w:numFmt w:val="decimal"/>
      <w:lvlText w:val="%7."/>
      <w:lvlJc w:val="left"/>
      <w:pPr>
        <w:ind w:left="5040" w:hanging="360"/>
      </w:pPr>
    </w:lvl>
    <w:lvl w:ilvl="7" w:tplc="90EC50B8">
      <w:start w:val="1"/>
      <w:numFmt w:val="lowerLetter"/>
      <w:lvlText w:val="%8."/>
      <w:lvlJc w:val="left"/>
      <w:pPr>
        <w:ind w:left="5760" w:hanging="360"/>
      </w:pPr>
    </w:lvl>
    <w:lvl w:ilvl="8" w:tplc="1946E2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2AB9A"/>
    <w:multiLevelType w:val="hybridMultilevel"/>
    <w:tmpl w:val="580C5996"/>
    <w:lvl w:ilvl="0" w:tplc="4BECF4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B684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D2B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ADE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92DA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1A8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E3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F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14F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85830"/>
    <w:multiLevelType w:val="hybridMultilevel"/>
    <w:tmpl w:val="62B41CC8"/>
    <w:lvl w:ilvl="0" w:tplc="9702C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987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FA4C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BAEE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92EE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4EE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DC73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08F1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984A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724EAF"/>
    <w:multiLevelType w:val="hybridMultilevel"/>
    <w:tmpl w:val="1322595A"/>
    <w:lvl w:ilvl="0" w:tplc="35568B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52D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FCB0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E8F6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47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D47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F443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1CD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8895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010BEB"/>
    <w:multiLevelType w:val="hybridMultilevel"/>
    <w:tmpl w:val="42D444E4"/>
    <w:lvl w:ilvl="0" w:tplc="5186F9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BEAD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7C8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18F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9020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9618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D020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8D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DA8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984989">
    <w:abstractNumId w:val="3"/>
  </w:num>
  <w:num w:numId="2" w16cid:durableId="1431507579">
    <w:abstractNumId w:val="4"/>
  </w:num>
  <w:num w:numId="3" w16cid:durableId="1301690903">
    <w:abstractNumId w:val="1"/>
  </w:num>
  <w:num w:numId="4" w16cid:durableId="1233659220">
    <w:abstractNumId w:val="0"/>
  </w:num>
  <w:num w:numId="5" w16cid:durableId="1888492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18F60B"/>
    <w:rsid w:val="000F19AB"/>
    <w:rsid w:val="00856F3B"/>
    <w:rsid w:val="00A40ADA"/>
    <w:rsid w:val="00DB6AD0"/>
    <w:rsid w:val="00E44C2C"/>
    <w:rsid w:val="01CD89DF"/>
    <w:rsid w:val="02134FA2"/>
    <w:rsid w:val="02432C61"/>
    <w:rsid w:val="08463F12"/>
    <w:rsid w:val="0938E94A"/>
    <w:rsid w:val="0C18F60B"/>
    <w:rsid w:val="0C91DF19"/>
    <w:rsid w:val="0CA6BD4A"/>
    <w:rsid w:val="0FDFF1A3"/>
    <w:rsid w:val="120CAB0F"/>
    <w:rsid w:val="12D5F548"/>
    <w:rsid w:val="164D9F90"/>
    <w:rsid w:val="17791649"/>
    <w:rsid w:val="18259942"/>
    <w:rsid w:val="18DBA3CA"/>
    <w:rsid w:val="1919E429"/>
    <w:rsid w:val="19854052"/>
    <w:rsid w:val="1C652A85"/>
    <w:rsid w:val="2041315D"/>
    <w:rsid w:val="22C0DD09"/>
    <w:rsid w:val="233249B6"/>
    <w:rsid w:val="2334101E"/>
    <w:rsid w:val="24CA07DD"/>
    <w:rsid w:val="24CFE07F"/>
    <w:rsid w:val="266BB0E0"/>
    <w:rsid w:val="29886F60"/>
    <w:rsid w:val="29A351A2"/>
    <w:rsid w:val="2CDAF264"/>
    <w:rsid w:val="37992085"/>
    <w:rsid w:val="3F6914BC"/>
    <w:rsid w:val="40B834D3"/>
    <w:rsid w:val="436E6A70"/>
    <w:rsid w:val="4F83CC0D"/>
    <w:rsid w:val="51F2497E"/>
    <w:rsid w:val="52E05778"/>
    <w:rsid w:val="5367C5DD"/>
    <w:rsid w:val="6802E28F"/>
    <w:rsid w:val="699C8EA7"/>
    <w:rsid w:val="6D50D4B0"/>
    <w:rsid w:val="6DFDEAE6"/>
    <w:rsid w:val="6E847149"/>
    <w:rsid w:val="6ED5C1FC"/>
    <w:rsid w:val="719B949B"/>
    <w:rsid w:val="74443318"/>
    <w:rsid w:val="7A857221"/>
    <w:rsid w:val="7A86B406"/>
    <w:rsid w:val="7F5D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8F60B"/>
  <w15:chartTrackingRefBased/>
  <w15:docId w15:val="{6B64C0B1-F88C-44BB-A01A-4C094A43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9524</Words>
  <Characters>57146</Characters>
  <Application>Microsoft Office Word</Application>
  <DocSecurity>0</DocSecurity>
  <Lines>476</Lines>
  <Paragraphs>133</Paragraphs>
  <ScaleCrop>false</ScaleCrop>
  <Company/>
  <LinksUpToDate>false</LinksUpToDate>
  <CharactersWithSpaces>66537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Żukowski</dc:creator>
  <cp:keywords/>
  <dc:description/>
  <cp:lastModifiedBy>Joanna Jelonek</cp:lastModifiedBy>
  <cp:revision>5</cp:revision>
  <dcterms:created xsi:type="dcterms:W3CDTF">2022-12-12T11:27:00Z</dcterms:created>
  <dcterms:modified xsi:type="dcterms:W3CDTF">2022-12-23T08:43:00Z</dcterms:modified>
</cp:coreProperties>
</file>